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jpeg" ContentType="image/jpeg"/>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60"/>
        <w:jc w:val="center"/>
        <w:rPr/>
      </w:pPr>
      <w:r>
        <w:rPr>
          <w:rFonts w:eastAsia="Montserrat" w:cs="Montserrat" w:ascii="Montserrat" w:hAnsi="Montserrat"/>
          <w:b/>
          <w:bCs/>
          <w:color w:val="000000"/>
          <w:sz w:val="36"/>
          <w:szCs w:val="36"/>
        </w:rPr>
        <w:t>JCATI 2027–28 Request for Proposals</w:t>
      </w:r>
    </w:p>
    <w:p>
      <w:pPr>
        <w:pStyle w:val="Normal"/>
        <w:spacing w:before="0" w:after="200"/>
        <w:jc w:val="center"/>
        <w:rPr/>
      </w:pPr>
      <w:r>
        <w:rPr>
          <w:rFonts w:eastAsia="Montserrat" w:cs="Montserrat" w:ascii="Montserrat" w:hAnsi="Montserrat"/>
          <w:color w:val="231F20"/>
          <w:sz w:val="22"/>
          <w:szCs w:val="22"/>
        </w:rPr>
        <w:t>Joint Center for Aerospace Technology Innovation — FY28 Awards</w:t>
      </w:r>
    </w:p>
    <w:p>
      <w:pPr>
        <w:pStyle w:val="Normal"/>
        <w:shd w:val="clear" w:fill="008E60"/>
        <w:spacing w:before="80" w:after="80"/>
        <w:jc w:val="center"/>
        <w:rPr/>
      </w:pPr>
      <w:r>
        <w:rPr>
          <w:rFonts w:eastAsia="Montserrat" w:cs="Montserrat" w:ascii="Montserrat" w:hAnsi="Montserrat"/>
          <w:b/>
          <w:bCs/>
          <w:color w:val="FFFFFF"/>
          <w:sz w:val="30"/>
          <w:szCs w:val="30"/>
        </w:rPr>
        <w:t>DUE DATE: FRIDAY, FEBRUARY 26, 2027, 5:00 PM PST</w:t>
      </w:r>
    </w:p>
    <w:p>
      <w:pPr>
        <w:pStyle w:val="Normal"/>
        <w:shd w:val="clear" w:fill="008E60"/>
        <w:spacing w:before="0" w:after="0"/>
        <w:jc w:val="center"/>
        <w:rPr/>
      </w:pPr>
      <w:r>
        <w:rPr>
          <w:rFonts w:eastAsia="Open Sans" w:cs="Open Sans"/>
          <w:b/>
          <w:bCs/>
          <w:color w:val="FFFFFF"/>
          <w:sz w:val="19"/>
          <w:szCs w:val="19"/>
        </w:rPr>
        <w:t>Departmental budget sign-off deadlines (signed by your department’s grant staff):</w:t>
      </w:r>
    </w:p>
    <w:p>
      <w:pPr>
        <w:pStyle w:val="Normal"/>
        <w:shd w:val="clear" w:fill="008E60"/>
        <w:spacing w:before="0" w:after="0"/>
        <w:jc w:val="center"/>
        <w:rPr/>
      </w:pPr>
      <w:r>
        <w:rPr>
          <w:rFonts w:eastAsia="Open Sans" w:cs="Open Sans"/>
          <w:color w:val="FFFFFF"/>
          <w:sz w:val="19"/>
          <w:szCs w:val="19"/>
        </w:rPr>
        <w:t>UW Aeronautics &amp; Astronautics: 5:00 PM Friday, February 19, 2027</w:t>
      </w:r>
    </w:p>
    <w:p>
      <w:pPr>
        <w:pStyle w:val="Normal"/>
        <w:shd w:val="clear" w:fill="008E60"/>
        <w:spacing w:before="0" w:after="0"/>
        <w:jc w:val="center"/>
        <w:rPr/>
      </w:pPr>
      <w:r>
        <w:rPr>
          <w:rFonts w:eastAsia="Open Sans" w:cs="Open Sans"/>
          <w:color w:val="FFFFFF"/>
          <w:sz w:val="19"/>
          <w:szCs w:val="19"/>
        </w:rPr>
        <w:t>UW Mechanical Engineering: 5:00 PM Tuesday, February 23, 2027</w:t>
      </w:r>
    </w:p>
    <w:p>
      <w:pPr>
        <w:pStyle w:val="Normal"/>
        <w:shd w:val="clear" w:fill="008E60"/>
        <w:spacing w:before="0" w:after="80"/>
        <w:jc w:val="center"/>
        <w:rPr/>
      </w:pPr>
      <w:r>
        <w:rPr>
          <w:rFonts w:eastAsia="Open Sans" w:cs="Open Sans"/>
          <w:color w:val="FFFFFF"/>
          <w:sz w:val="19"/>
          <w:szCs w:val="19"/>
        </w:rPr>
        <w:t>All other departments: confirm your grants office’s internal deadline.</w:t>
      </w:r>
    </w:p>
    <w:p>
      <w:pPr>
        <w:pStyle w:val="Normal"/>
        <w:spacing w:before="160" w:after="80"/>
        <w:jc w:val="center"/>
        <w:rPr/>
      </w:pPr>
      <w:r>
        <w:rPr>
          <w:rFonts w:eastAsia="Open Sans" w:cs="Open Sans"/>
          <w:b/>
          <w:bCs/>
          <w:color w:val="231F20"/>
          <w:sz w:val="22"/>
          <w:szCs w:val="22"/>
        </w:rPr>
        <w:t xml:space="preserve">Apply at: </w:t>
      </w:r>
      <w:hyperlink r:id="rId2">
        <w:r>
          <w:rPr>
            <w:rStyle w:val="ListLabel11"/>
            <w:rFonts w:eastAsia="Open Sans" w:cs="Open Sans"/>
            <w:b/>
            <w:bCs/>
            <w:color w:val="008E60"/>
            <w:sz w:val="20"/>
            <w:szCs w:val="20"/>
            <w:u w:val="single"/>
          </w:rPr>
          <w:t>jcati.org/funding-request-proposals</w:t>
        </w:r>
      </w:hyperlink>
    </w:p>
    <w:p>
      <w:pPr>
        <w:spacing w:before="0" w:after="160"/>
        <w:jc w:val="center"/>
      </w:pPr>
      <w:r>
        <w:rPr>
          <w:rFonts w:eastAsia="Open Sans" w:cs="Open Sans"/>
          <w:b/>
          <w:bCs/>
          <w:i w:val="false"/>
          <w:iCs w:val="false"/>
          <w:color w:val="231F20"/>
          <w:sz w:val="20"/>
          <w:szCs w:val="20"/>
        </w:rPr>
        <w:t xml:space="preserve">Questions: </w:t>
      </w:r>
      <w:r>
        <w:rPr>
          <w:rFonts w:eastAsia="Open Sans" w:cs="Open Sans"/>
          <w:b w:val="false"/>
          <w:bCs w:val="false"/>
          <w:i w:val="false"/>
          <w:iCs w:val="false"/>
          <w:color w:val="231F20"/>
          <w:sz w:val="20"/>
          <w:szCs w:val="20"/>
        </w:rPr>
        <w:t xml:space="preserve">Brit Myers, JCATI Program Manager, britm@uw.edu, (206) 685-8063</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Key Dates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3000"/>
        <w:gridCol w:w="6360"/>
      </w:tblGrid>
      <w:tr>
        <w:trPr>
          <w:tblHeader/>
          <w:cantSplit/>
        </w:trPr>
        <w:tc>
          <w:tcPr>
            <w:tcW w:w="30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Date</w:t>
            </w:r>
          </w:p>
        </w:tc>
        <w:tc>
          <w:tcPr>
            <w:tcW w:w="636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Milestone</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Thursday, January 7, 2027, 5:00 PM PST</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Optional narrative pre-review: last day to submit a draft</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Friday, January 15, 2027</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Academic partner matchmaking: recommended date to request a match in time for this cycle (requests are welcome any time)</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February 1, 11, and 17, 2027, 1:00–2:00 PM PST</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Virtual office hours (register at jcati.org)</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Friday, February 19, 2027, 5:00 PM</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Budget sign-off deadline, UW Aeronautics &amp; Astronautics</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Tuesday, February 23, 2027, 5:00 PM</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Budget sign-off deadline, UW Mechanical Engineering (other departments: confirm with your grants office)</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Friday, February 26, 2027, 5:00 PM PST</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Proposals due</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May 2027</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Funding decisions announced</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Thursday, July 1, 2027</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Project period begins</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Spring 2028 (date TBD)</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JCATI symposium at Western Washington University, Bellingham</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Friday, June 30, 2028</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Project period ends; all funds spent</w:t>
            </w:r>
          </w:p>
        </w:tc>
      </w:tr>
      <w:tr>
        <w:trPr>
          <w:cantSplit/>
        </w:trPr>
        <w:tc>
          <w:tcPr>
            <w:tcW w:w="30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Monday, July 17, 2028, 5:00 PM PDT</w:t>
            </w:r>
          </w:p>
        </w:tc>
        <w:tc>
          <w:tcPr>
            <w:tcW w:w="63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Final report due</w:t>
            </w:r>
          </w:p>
        </w:tc>
      </w:tr>
    </w:tbl>
    <w:p>
      <w:pPr>
        <w:spacing w:before="0" w:after="60"/>
      </w:pP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General Information</w:t>
      </w:r>
    </w:p>
    <w:p>
      <w:pPr>
        <w:spacing w:before="0" w:after="120"/>
      </w:pPr>
      <w:r>
        <w:rPr>
          <w:rFonts w:ascii="Open Sans" w:hAnsi="Open Sans" w:eastAsia="Open Sans" w:cs="Open Sans"/>
          <w:color w:val="231F20"/>
          <w:sz w:val="20"/>
          <w:szCs w:val="20"/>
        </w:rPr>
        <w:t xml:space="preserve">The Joint Center for Aerospace Technology Innovation (JCATI) is a Washington State (WA) aerospace industry economic development program, created by the Legislature under RCW 28B.155. Our mandate is to pursue joint industry-university research that moves new technologies into WA aerospace companies of all sizes, to enhance the education of engineering students through that industry-focused research, and to work directly with aerospace firms and industry associations to identify their research needs. JCATI project award funds pay for short-term industry access to WA public university engineering expertise.</w:t>
      </w:r>
    </w:p>
    <w:p>
      <w:pPr>
        <w:spacing w:before="0" w:after="120"/>
      </w:pPr>
      <w:r>
        <w:rPr>
          <w:rFonts w:ascii="Open Sans" w:hAnsi="Open Sans" w:eastAsia="Open Sans" w:cs="Open Sans"/>
          <w:color w:val="231F20"/>
          <w:sz w:val="20"/>
          <w:szCs w:val="20"/>
        </w:rPr>
        <w:t xml:space="preserve">JCATI funds Technology Readiness Level (TRL) 3–7 technology challenges (the “Valley of Death”) — from proof of concept and component validation in a laboratory through full system prototype testing. Each project must pinpoint a technology in that range and advance it one TRL level during the one-year project. JCATI provides a place for industry to test technology ideas by leveraging academic expertise. University engineering faculty receive funding to work on their industry partner's challenges. The goal is to transition the technology from the university to the industry partner within one year after the project ends, preferably sooner. Successful projects are well scoped and have a clear technology transition plan.</w:t>
      </w:r>
    </w:p>
    <w:p>
      <w:pPr>
        <w:keepNext/>
        <w:spacing w:before="160" w:after="80"/>
      </w:pPr>
      <w:r>
        <w:rPr>
          <w:rFonts w:eastAsia="Montserrat" w:cs="Montserrat" w:ascii="Montserrat" w:hAnsi="Montserrat"/>
          <w:b/>
          <w:bCs/>
          <w:color w:val="231F20"/>
          <w:sz w:val="20"/>
          <w:szCs w:val="20"/>
        </w:rPr>
        <w:t xml:space="preserve">How JCATI Works</w:t>
      </w:r>
    </w:p>
    <w:p>
      <w:pPr>
        <w:pStyle w:val="ListParagraph"/>
        <w:numPr>
          <w:ilvl w:val="0"/>
          <w:numId w:val="1"/>
        </w:numPr>
        <w:spacing w:before="0" w:after="60"/>
      </w:pPr>
      <w:r>
        <w:rPr>
          <w:rFonts w:ascii="Open Sans" w:hAnsi="Open Sans" w:eastAsia="Open Sans" w:cs="Open Sans"/>
          <w:color w:val="231F20"/>
          <w:sz w:val="20"/>
          <w:szCs w:val="20"/>
        </w:rPr>
        <w:t xml:space="preserve">A WA aerospace company identifies a technical pain point and finds the expertise it needs in an engineering program at a WA public university.</w:t>
      </w:r>
    </w:p>
    <w:p>
      <w:pPr>
        <w:pStyle w:val="ListParagraph"/>
        <w:numPr>
          <w:ilvl w:val="0"/>
          <w:numId w:val="1"/>
        </w:numPr>
        <w:spacing w:before="0" w:after="60"/>
      </w:pPr>
      <w:r>
        <w:rPr>
          <w:rFonts w:ascii="Open Sans" w:hAnsi="Open Sans" w:eastAsia="Open Sans" w:cs="Open Sans"/>
          <w:color w:val="231F20"/>
          <w:sz w:val="20"/>
          <w:szCs w:val="20"/>
        </w:rPr>
        <w:t xml:space="preserve">Engineering faculty submit a JCATI proposal describing how their expertise can solve the problem.</w:t>
      </w:r>
    </w:p>
    <w:p>
      <w:pPr>
        <w:pStyle w:val="ListParagraph"/>
        <w:numPr>
          <w:ilvl w:val="0"/>
          <w:numId w:val="1"/>
        </w:numPr>
        <w:spacing w:before="0" w:after="60"/>
      </w:pPr>
      <w:r>
        <w:rPr>
          <w:rFonts w:ascii="Open Sans" w:hAnsi="Open Sans" w:eastAsia="Open Sans" w:cs="Open Sans"/>
          <w:color w:val="231F20"/>
          <w:sz w:val="20"/>
          <w:szCs w:val="20"/>
        </w:rPr>
        <w:t xml:space="preserve">If the project is selected, the faculty team receives funding that primarily supports WA engineering faculty and students working on the solution.</w:t>
      </w:r>
    </w:p>
    <w:p>
      <w:pPr>
        <w:pStyle w:val="ListParagraph"/>
        <w:numPr>
          <w:ilvl w:val="0"/>
          <w:numId w:val="1"/>
        </w:numPr>
        <w:spacing w:before="0" w:after="60"/>
      </w:pPr>
      <w:r>
        <w:rPr>
          <w:rFonts w:ascii="Open Sans" w:hAnsi="Open Sans" w:eastAsia="Open Sans" w:cs="Open Sans"/>
          <w:color w:val="231F20"/>
          <w:sz w:val="20"/>
          <w:szCs w:val="20"/>
        </w:rPr>
        <w:t xml:space="preserve">The industry partner supports the project with its own resources (cash and/or in-kind), described in its letter of support.</w:t>
      </w:r>
    </w:p>
    <w:p>
      <w:pPr>
        <w:spacing w:before="0" w:after="120"/>
      </w:pPr>
      <w:r>
        <w:rPr>
          <w:rFonts w:ascii="Open Sans" w:hAnsi="Open Sans" w:eastAsia="Open Sans" w:cs="Open Sans"/>
          <w:color w:val="231F20"/>
          <w:sz w:val="20"/>
          <w:szCs w:val="20"/>
        </w:rPr>
        <w:t xml:space="preserve">JCATI funds are not long-term grants, industry-sponsored research, or basic research support. JCATI projects should produce real industry deliverables.</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Types of Supported Projects / Topics of Interest</w:t>
      </w:r>
    </w:p>
    <w:p>
      <w:pPr>
        <w:spacing w:before="0" w:after="120"/>
      </w:pPr>
      <w:r>
        <w:rPr>
          <w:rFonts w:ascii="Open Sans" w:hAnsi="Open Sans" w:eastAsia="Open Sans" w:cs="Open Sans"/>
          <w:color w:val="231F20"/>
          <w:sz w:val="20"/>
          <w:szCs w:val="20"/>
        </w:rPr>
        <w:t xml:space="preserve">Projects must relate to the Washington aerospace industry and have their impact in Washington. JCATI is strongly interested in proposals across the following areas, but is open to proposals across all aerospace technology innovation sectors. The areas below reflect growing Washington industries where university engineering expertise can help companies solve technology innovation challenges.</w:t>
      </w:r>
    </w:p>
    <w:p>
      <w:pPr>
        <w:keepNext/>
        <w:spacing w:before="160" w:after="80"/>
      </w:pPr>
      <w:r>
        <w:rPr>
          <w:rFonts w:eastAsia="Montserrat" w:cs="Montserrat" w:ascii="Montserrat" w:hAnsi="Montserrat"/>
          <w:b/>
          <w:bCs/>
          <w:color w:val="231F20"/>
          <w:sz w:val="20"/>
          <w:szCs w:val="20"/>
        </w:rPr>
        <w:t xml:space="preserve">Areas of Strong Interest</w:t>
      </w:r>
    </w:p>
    <w:p>
      <w:pPr>
        <w:pStyle w:val="ListParagraph"/>
        <w:numPr>
          <w:ilvl w:val="0"/>
          <w:numId w:val="1"/>
        </w:numPr>
        <w:spacing w:before="0" w:after="60"/>
      </w:pPr>
      <w:r>
        <w:rPr>
          <w:rFonts w:ascii="Open Sans" w:hAnsi="Open Sans" w:eastAsia="Open Sans" w:cs="Open Sans"/>
          <w:b/>
          <w:bCs/>
          <w:color w:val="231F20"/>
          <w:sz w:val="20"/>
          <w:szCs w:val="20"/>
        </w:rPr>
        <w:t xml:space="preserve">Physical AI, Robotics &amp; Autonomy</w:t>
      </w:r>
      <w:r>
        <w:rPr>
          <w:rFonts w:ascii="Open Sans" w:hAnsi="Open Sans" w:eastAsia="Open Sans" w:cs="Open Sans"/>
          <w:color w:val="231F20"/>
          <w:sz w:val="20"/>
          <w:szCs w:val="20"/>
        </w:rPr>
        <w:t xml:space="preserve"> — AI built into aircraft, spacecraft, and robotic systems: autonomous flight/ground operations, robotics, advanced sensors and sensor fusion, edge computing, physical-world modeling, computer vision for inspection, anomaly detection and predictive maintenance, airspace integration of uncrewed and autonomous aircraft, and autonomy that does not depend on GPS or communications, including resistance to GPS spoofing.</w:t>
      </w:r>
    </w:p>
    <w:p>
      <w:pPr>
        <w:pStyle w:val="ListParagraph"/>
        <w:numPr>
          <w:ilvl w:val="0"/>
          <w:numId w:val="1"/>
        </w:numPr>
        <w:spacing w:before="0" w:after="60"/>
      </w:pPr>
      <w:r>
        <w:rPr>
          <w:rFonts w:ascii="Open Sans" w:hAnsi="Open Sans" w:eastAsia="Open Sans" w:cs="Open Sans"/>
          <w:b/>
          <w:bCs/>
          <w:color w:val="231F20"/>
          <w:sz w:val="20"/>
          <w:szCs w:val="20"/>
        </w:rPr>
        <w:t xml:space="preserve">Aerospace Power &amp; Energy</w:t>
      </w:r>
      <w:r>
        <w:rPr>
          <w:rFonts w:ascii="Open Sans" w:hAnsi="Open Sans" w:eastAsia="Open Sans" w:cs="Open Sans"/>
          <w:color w:val="231F20"/>
          <w:sz w:val="20"/>
          <w:szCs w:val="20"/>
        </w:rPr>
        <w:t xml:space="preserve"> — batteries and battery materials, energy density and storage, space power systems including space nuclear power, power electronics and transmission, and electrification of aircraft and ground systems.</w:t>
      </w:r>
    </w:p>
    <w:p>
      <w:pPr>
        <w:pStyle w:val="ListParagraph"/>
        <w:numPr>
          <w:ilvl w:val="0"/>
          <w:numId w:val="1"/>
        </w:numPr>
        <w:spacing w:before="0" w:after="60"/>
      </w:pPr>
      <w:r>
        <w:rPr>
          <w:rFonts w:ascii="Open Sans" w:hAnsi="Open Sans" w:eastAsia="Open Sans" w:cs="Open Sans"/>
          <w:b/>
          <w:bCs/>
          <w:color w:val="231F20"/>
          <w:sz w:val="20"/>
          <w:szCs w:val="20"/>
        </w:rPr>
        <w:t xml:space="preserve">Agriculture Applications</w:t>
      </w:r>
      <w:r>
        <w:rPr>
          <w:rFonts w:ascii="Open Sans" w:hAnsi="Open Sans" w:eastAsia="Open Sans" w:cs="Open Sans"/>
          <w:color w:val="231F20"/>
          <w:sz w:val="20"/>
          <w:szCs w:val="20"/>
        </w:rPr>
        <w:t xml:space="preserve"> — UAV/drone-based crop scouting and spraying, multispectral/hyperspectral crop-health sensing, precision agriculture sensor payloads, autonomous field operations, satellite-based irrigation/yield monitoring, agricultural feedstocks for SAF.</w:t>
      </w:r>
    </w:p>
    <w:p>
      <w:pPr>
        <w:pStyle w:val="ListParagraph"/>
        <w:numPr>
          <w:ilvl w:val="0"/>
          <w:numId w:val="1"/>
        </w:numPr>
        <w:spacing w:before="0" w:after="60"/>
      </w:pPr>
      <w:r>
        <w:rPr>
          <w:rFonts w:ascii="Open Sans" w:hAnsi="Open Sans" w:eastAsia="Open Sans" w:cs="Open Sans"/>
          <w:b/>
          <w:bCs/>
          <w:color w:val="231F20"/>
          <w:sz w:val="20"/>
          <w:szCs w:val="20"/>
        </w:rPr>
        <w:t xml:space="preserve">Environmental Domain Awareness</w:t>
      </w:r>
      <w:r>
        <w:rPr>
          <w:rFonts w:ascii="Open Sans" w:hAnsi="Open Sans" w:eastAsia="Open Sans" w:cs="Open Sans"/>
          <w:color w:val="231F20"/>
          <w:sz w:val="20"/>
          <w:szCs w:val="20"/>
        </w:rPr>
        <w:t xml:space="preserve"> — wildfire detection and tracking, forest health and carbon-stock remote sensing, air/water quality monitoring, marine and coastal domain awareness, critical infrastructure/power grid inspection, disaster response mapping.</w:t>
      </w:r>
    </w:p>
    <w:p>
      <w:pPr>
        <w:pStyle w:val="ListParagraph"/>
        <w:numPr>
          <w:ilvl w:val="0"/>
          <w:numId w:val="1"/>
        </w:numPr>
        <w:spacing w:before="0" w:after="60"/>
      </w:pPr>
      <w:r>
        <w:rPr>
          <w:rFonts w:ascii="Open Sans" w:hAnsi="Open Sans" w:eastAsia="Open Sans" w:cs="Open Sans"/>
          <w:b/>
          <w:bCs/>
          <w:color w:val="231F20"/>
          <w:sz w:val="20"/>
          <w:szCs w:val="20"/>
        </w:rPr>
        <w:t xml:space="preserve">Sustainable Aviation Fuel (SAF) &amp; Alternative Fuels</w:t>
      </w:r>
      <w:r>
        <w:rPr>
          <w:rFonts w:ascii="Open Sans" w:hAnsi="Open Sans" w:eastAsia="Open Sans" w:cs="Open Sans"/>
          <w:color w:val="231F20"/>
          <w:sz w:val="20"/>
          <w:szCs w:val="20"/>
        </w:rPr>
        <w:t xml:space="preserve"> — feedstock development, fuel processing/refining technology, blending and certification research, lifecycle emissions analysis.</w:t>
      </w:r>
    </w:p>
    <w:p>
      <w:pPr>
        <w:pStyle w:val="ListParagraph"/>
        <w:numPr>
          <w:ilvl w:val="0"/>
          <w:numId w:val="1"/>
        </w:numPr>
        <w:spacing w:before="0" w:after="60"/>
      </w:pPr>
      <w:r>
        <w:rPr>
          <w:rFonts w:ascii="Open Sans" w:hAnsi="Open Sans" w:eastAsia="Open Sans" w:cs="Open Sans"/>
          <w:b/>
          <w:bCs/>
          <w:color w:val="231F20"/>
          <w:sz w:val="20"/>
          <w:szCs w:val="20"/>
        </w:rPr>
        <w:t xml:space="preserve">Space Sustainability &amp; Logistics</w:t>
      </w:r>
      <w:r>
        <w:rPr>
          <w:rFonts w:ascii="Open Sans" w:hAnsi="Open Sans" w:eastAsia="Open Sans" w:cs="Open Sans"/>
          <w:color w:val="231F20"/>
          <w:sz w:val="20"/>
          <w:szCs w:val="20"/>
        </w:rPr>
        <w:t xml:space="preserve"> — on-orbit satellite servicing, life extension, refueling, debris removal/disposal, collision avoidance, management of large satellite constellations, in-space logistics infrastructure, including orbital data centers.</w:t>
      </w:r>
    </w:p>
    <w:p>
      <w:pPr>
        <w:pStyle w:val="ListParagraph"/>
        <w:numPr>
          <w:ilvl w:val="0"/>
          <w:numId w:val="1"/>
        </w:numPr>
        <w:spacing w:before="0" w:after="60"/>
      </w:pPr>
      <w:r>
        <w:rPr>
          <w:rFonts w:ascii="Open Sans" w:hAnsi="Open Sans" w:eastAsia="Open Sans" w:cs="Open Sans"/>
          <w:b/>
          <w:bCs/>
          <w:color w:val="231F20"/>
          <w:sz w:val="20"/>
          <w:szCs w:val="20"/>
        </w:rPr>
        <w:t xml:space="preserve">Advanced Materials &amp; Manufacturing</w:t>
      </w:r>
      <w:r>
        <w:rPr>
          <w:rFonts w:ascii="Open Sans" w:hAnsi="Open Sans" w:eastAsia="Open Sans" w:cs="Open Sans"/>
          <w:color w:val="231F20"/>
          <w:sz w:val="20"/>
          <w:szCs w:val="20"/>
        </w:rPr>
        <w:t xml:space="preserve"> — novel aerospace materials, composites, coatings, and manufacturing/production process innovation, including composite recycling and circular manufacturing, generative design, and AI-assisted manufacturing quality control.</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Eligibility Requirements</w:t>
      </w:r>
    </w:p>
    <w:p>
      <w:pPr>
        <w:keepNext/>
        <w:spacing w:before="160" w:after="80"/>
      </w:pPr>
      <w:r>
        <w:rPr>
          <w:rFonts w:eastAsia="Montserrat" w:cs="Montserrat" w:ascii="Montserrat" w:hAnsi="Montserrat"/>
          <w:b/>
          <w:bCs/>
          <w:color w:val="231F20"/>
          <w:sz w:val="20"/>
          <w:szCs w:val="20"/>
        </w:rPr>
        <w:t xml:space="preserve">Applicant Organization</w:t>
      </w:r>
    </w:p>
    <w:p>
      <w:pPr>
        <w:spacing w:before="0" w:after="120"/>
      </w:pPr>
      <w:r>
        <w:rPr>
          <w:rFonts w:ascii="Open Sans" w:hAnsi="Open Sans" w:eastAsia="Open Sans" w:cs="Open Sans"/>
          <w:color w:val="231F20"/>
          <w:sz w:val="20"/>
          <w:szCs w:val="20"/>
        </w:rPr>
        <w:t xml:space="preserve">Eligible applicant organizations are Central Washington University, Eastern Washington University, University of Washington, Washington State University, Western Washington University, and The Evergreen State College.</w:t>
      </w:r>
    </w:p>
    <w:p>
      <w:pPr>
        <w:keepNext/>
        <w:spacing w:before="160" w:after="80"/>
      </w:pPr>
      <w:r>
        <w:rPr>
          <w:rFonts w:eastAsia="Montserrat" w:cs="Montserrat" w:ascii="Montserrat" w:hAnsi="Montserrat"/>
          <w:b/>
          <w:bCs/>
          <w:color w:val="231F20"/>
          <w:sz w:val="20"/>
          <w:szCs w:val="20"/>
        </w:rPr>
        <w:t xml:space="preserve">Principal Investigator</w:t>
      </w:r>
    </w:p>
    <w:p>
      <w:pPr>
        <w:spacing w:before="0" w:after="120"/>
      </w:pPr>
      <w:r>
        <w:rPr>
          <w:rFonts w:ascii="Open Sans" w:hAnsi="Open Sans" w:eastAsia="Open Sans" w:cs="Open Sans"/>
          <w:color w:val="231F20"/>
          <w:sz w:val="20"/>
          <w:szCs w:val="20"/>
        </w:rPr>
        <w:t xml:space="preserve">Each project has one principal investigator (PI) of record, who holds the project budget, supervises the funded students, and is responsible for spending, reporting, and closeout. Co-PIs share the technical work but hold no separate budget. The PI and co-PIs must be eligible to serve in those roles under their institution's PI eligibility policy, including any exception the institution approves; JCATI sets no title rules of its own. Because JCATI proposals do not route through sponsored programs offices, the Department Chair certification (Section VII) confirms eligibility. Each PI may submit one proposal per funding cycle. Employees of a project's industry partner cannot be paid from that project's JCATI award as investigators. This opportunity is open to all eligible persons regardless of race, sex, or other identity. If you are unsure whether your appointment or unit qualifies, contact the JCATI Program Manager well before the deadline.</w:t>
      </w:r>
    </w:p>
    <w:p>
      <w:pPr>
        <w:keepNext/>
        <w:spacing w:before="160" w:after="80"/>
      </w:pPr>
      <w:r>
        <w:rPr>
          <w:rFonts w:eastAsia="Montserrat" w:cs="Montserrat" w:ascii="Montserrat" w:hAnsi="Montserrat"/>
          <w:b/>
          <w:bCs/>
          <w:color w:val="231F20"/>
          <w:sz w:val="20"/>
          <w:szCs w:val="20"/>
        </w:rPr>
        <w:t xml:space="preserve">Industry Partner</w:t>
      </w:r>
    </w:p>
    <w:p>
      <w:pPr>
        <w:spacing w:before="0" w:after="120"/>
      </w:pPr>
      <w:r>
        <w:rPr>
          <w:rFonts w:ascii="Open Sans" w:hAnsi="Open Sans" w:eastAsia="Open Sans" w:cs="Open Sans"/>
          <w:color w:val="231F20"/>
          <w:sz w:val="20"/>
          <w:szCs w:val="20"/>
        </w:rPr>
        <w:t xml:space="preserve">An industry partner is a company with a Washington presence that brings a real technical problem to the project, works with the academic team during the project year, and plans to take the resulting technology into its own products or operations. Every project needs at least one; the primary partner must be an aerospace-related company with a WA presence, and companies of all sizes are welcome. Industry partners can participate in more than one JCATI project per funding cycle. See “Industry Partners” for what each partner provides and signs.</w:t>
      </w:r>
    </w:p>
    <w:p>
      <w:pPr>
        <w:keepNext/>
        <w:spacing w:before="160" w:after="80"/>
      </w:pPr>
      <w:r>
        <w:rPr>
          <w:rFonts w:eastAsia="Montserrat" w:cs="Montserrat" w:ascii="Montserrat" w:hAnsi="Montserrat"/>
          <w:b/>
          <w:bCs/>
          <w:color w:val="231F20"/>
          <w:sz w:val="20"/>
          <w:szCs w:val="20"/>
        </w:rPr>
        <w:t xml:space="preserve">Project Requirements</w:t>
      </w:r>
    </w:p>
    <w:p>
      <w:pPr>
        <w:spacing w:before="0" w:after="120"/>
      </w:pPr>
      <w:r>
        <w:rPr>
          <w:rFonts w:ascii="Open Sans" w:hAnsi="Open Sans" w:eastAsia="Open Sans" w:cs="Open Sans"/>
          <w:color w:val="231F20"/>
          <w:sz w:val="20"/>
          <w:szCs w:val="20"/>
        </w:rPr>
        <w:t xml:space="preserve">Every project must also meet two requirements that follow from JCATI's legislative mandate:</w:t>
      </w:r>
    </w:p>
    <w:p>
      <w:pPr>
        <w:pStyle w:val="ListParagraph"/>
        <w:numPr>
          <w:ilvl w:val="0"/>
          <w:numId w:val="1"/>
        </w:numPr>
        <w:spacing w:before="0" w:after="60"/>
      </w:pPr>
      <w:r>
        <w:rPr>
          <w:rFonts w:ascii="Open Sans" w:hAnsi="Open Sans" w:eastAsia="Open Sans" w:cs="Open Sans"/>
          <w:b/>
          <w:bCs/>
          <w:color w:val="231F20"/>
          <w:sz w:val="20"/>
          <w:szCs w:val="20"/>
        </w:rPr>
        <w:t xml:space="preserve">Engineering focus.</w:t>
      </w:r>
      <w:r>
        <w:rPr>
          <w:rFonts w:ascii="Open Sans" w:hAnsi="Open Sans" w:eastAsia="Open Sans" w:cs="Open Sans"/>
          <w:color w:val="231F20"/>
          <w:sz w:val="20"/>
          <w:szCs w:val="20"/>
        </w:rPr>
        <w:t xml:space="preserve"> The project applies engineering expertise to the industry partner's problem, and award funds primarily support engineering or engineering technology students, meaning students enrolled in a program offered by an engineering unit. An engineering unit is a college or school of engineering, or a department, school, or center within it; a unit that offers a degree in engineering or engineering technology, wherever it sits in the institution; a department shared between an engineering college and another college; an engineering program at a branch campus; or a research center administered by an engineering unit. Any unit at an eligible institution, including a research institute, laboratory, or non-engineering department, may hold the budget, and every budget holder makes the same confirmations in the Department Chair certification (Section VII).</w:t>
      </w:r>
    </w:p>
    <w:p>
      <w:pPr>
        <w:pStyle w:val="ListParagraph"/>
        <w:numPr>
          <w:ilvl w:val="0"/>
          <w:numId w:val="1"/>
        </w:numPr>
        <w:spacing w:before="0" w:after="60"/>
      </w:pPr>
      <w:r>
        <w:rPr>
          <w:rFonts w:ascii="Open Sans" w:hAnsi="Open Sans" w:eastAsia="Open Sans" w:cs="Open Sans"/>
          <w:b/>
          <w:bCs/>
          <w:color w:val="231F20"/>
          <w:sz w:val="20"/>
          <w:szCs w:val="20"/>
        </w:rPr>
        <w:t xml:space="preserve">Work in Washington.</w:t>
      </w:r>
      <w:r>
        <w:rPr>
          <w:rFonts w:ascii="Open Sans" w:hAnsi="Open Sans" w:eastAsia="Open Sans" w:cs="Open Sans"/>
          <w:color w:val="231F20"/>
          <w:sz w:val="20"/>
          <w:szCs w:val="20"/>
        </w:rPr>
        <w:t xml:space="preserve"> JCATI is an economic development program for Washington, so project work should be done in WA wherever possible. At a minimum, the majority of project work, by the academic team and the industry partner alike, must occur in WA, and JCATI-funded faculty and students do their project work in WA.</w:t>
      </w:r>
    </w:p>
    <w:p>
      <w:pPr>
        <w:keepNext/>
        <w:spacing w:before="160" w:after="80"/>
      </w:pPr>
      <w:r>
        <w:rPr>
          <w:rFonts w:eastAsia="Montserrat" w:cs="Montserrat" w:ascii="Montserrat" w:hAnsi="Montserrat"/>
          <w:b/>
          <w:bCs/>
          <w:color w:val="231F20"/>
          <w:sz w:val="20"/>
          <w:szCs w:val="20"/>
        </w:rPr>
        <w:t xml:space="preserve">Collaborations Among Institutions</w:t>
      </w:r>
    </w:p>
    <w:p>
      <w:pPr>
        <w:spacing w:before="0" w:after="120"/>
      </w:pPr>
      <w:r>
        <w:rPr>
          <w:rFonts w:ascii="Open Sans" w:hAnsi="Open Sans" w:eastAsia="Open Sans" w:cs="Open Sans"/>
          <w:color w:val="231F20"/>
          <w:sz w:val="20"/>
          <w:szCs w:val="20"/>
        </w:rPr>
        <w:t xml:space="preserve">Faculty at different eligible institutions may share a project. JCATI makes one award to the PI of record's institution. That institution must have an engineering unit (as defined under “Engineering focus” above), and it passes the collaborator's share to the partner institution by subaward, purchase order, or interagency agreement. JCATI's terms flow down: no F&amp;A, overhead, or fees at either institution, no carry forward, the same end date, and reporting through the PI of record. The lead institution confirms at submission that it can do this. Faculty at an institution without an engineering unit may join as co-PIs on a project led by an institution that has one.</w:t>
      </w:r>
    </w:p>
    <w:p>
      <w:pPr>
        <w:keepNext/>
        <w:spacing w:before="160" w:after="80"/>
      </w:pPr>
      <w:r>
        <w:rPr>
          <w:rFonts w:eastAsia="Montserrat" w:cs="Montserrat" w:ascii="Montserrat" w:hAnsi="Montserrat"/>
          <w:b/>
          <w:bCs/>
          <w:color w:val="231F20"/>
          <w:sz w:val="20"/>
          <w:szCs w:val="20"/>
        </w:rPr>
        <w:t xml:space="preserve">Institution-Specific Notes</w:t>
      </w:r>
    </w:p>
    <w:p>
      <w:pPr>
        <w:pStyle w:val="ListParagraph"/>
        <w:numPr>
          <w:ilvl w:val="0"/>
          <w:numId w:val="1"/>
        </w:numPr>
        <w:spacing w:before="0" w:after="60"/>
      </w:pPr>
      <w:r>
        <w:rPr>
          <w:rFonts w:ascii="Open Sans" w:hAnsi="Open Sans" w:eastAsia="Open Sans" w:cs="Open Sans"/>
          <w:color w:val="231F20"/>
          <w:sz w:val="20"/>
          <w:szCs w:val="20"/>
        </w:rPr>
        <w:t xml:space="preserve">UW: JCATI applications do not require an eGC1. Do not submit applications to the Office of Sponsored Programs (OSP).</w:t>
      </w:r>
    </w:p>
    <w:p>
      <w:pPr>
        <w:pStyle w:val="ListParagraph"/>
        <w:numPr>
          <w:ilvl w:val="0"/>
          <w:numId w:val="1"/>
        </w:numPr>
        <w:spacing w:before="0" w:after="60"/>
      </w:pPr>
      <w:r>
        <w:rPr>
          <w:rFonts w:ascii="Open Sans" w:hAnsi="Open Sans" w:eastAsia="Open Sans" w:cs="Open Sans"/>
          <w:color w:val="231F20"/>
          <w:sz w:val="20"/>
          <w:szCs w:val="20"/>
        </w:rPr>
        <w:t xml:space="preserve">WSU: graduate student tuition waivers require an approved Graduate School commitment before the proposal is routed for submission (see “What JCATI Awards Cover” in Award Information).</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Industry Partners</w:t>
      </w:r>
    </w:p>
    <w:p>
      <w:pPr>
        <w:keepNext/>
        <w:spacing w:before="160" w:after="80"/>
      </w:pPr>
      <w:r>
        <w:rPr>
          <w:rFonts w:eastAsia="Montserrat" w:cs="Montserrat" w:ascii="Montserrat" w:hAnsi="Montserrat"/>
          <w:b/>
          <w:bCs/>
          <w:color w:val="231F20"/>
          <w:sz w:val="20"/>
          <w:szCs w:val="20"/>
        </w:rPr>
        <w:t xml:space="preserve">Requirements</w:t>
      </w:r>
    </w:p>
    <w:p>
      <w:pPr>
        <w:spacing w:before="0" w:after="120"/>
      </w:pPr>
      <w:r>
        <w:rPr>
          <w:rFonts w:ascii="Open Sans" w:hAnsi="Open Sans" w:eastAsia="Open Sans" w:cs="Open Sans"/>
          <w:color w:val="231F20"/>
          <w:sz w:val="20"/>
          <w:szCs w:val="20"/>
        </w:rPr>
        <w:t xml:space="preserve">The primary aerospace industry partner must have a WA presence, and the majority of project work and impact must occur in WA, as RCW 28B.155.010(2) directs. A partner based outside WA may be possible if these conditions are met; contact the JCATI Program Manager with questions.</w:t>
      </w:r>
    </w:p>
    <w:p>
      <w:pPr>
        <w:spacing w:before="0" w:after="120"/>
      </w:pPr>
      <w:r>
        <w:rPr>
          <w:rFonts w:ascii="Open Sans" w:hAnsi="Open Sans" w:eastAsia="Open Sans" w:cs="Open Sans"/>
          <w:color w:val="231F20"/>
          <w:sz w:val="20"/>
          <w:szCs w:val="20"/>
        </w:rPr>
        <w:t xml:space="preserve">Every industry partner signs the Industry Partner Attestation Form (Section IX), stating whether it has been found in violation of RCW 49.60.030, Washington's freedom from discrimination law, and if so, how it remedied the violation. RCW 28B.155.030 requires JCATI to ensure its industry partners adhere to that law.</w:t>
      </w:r>
    </w:p>
    <w:p>
      <w:pPr>
        <w:keepNext/>
        <w:spacing w:before="160" w:after="80"/>
      </w:pPr>
      <w:r>
        <w:rPr>
          <w:rFonts w:eastAsia="Montserrat" w:cs="Montserrat" w:ascii="Montserrat" w:hAnsi="Montserrat"/>
          <w:b/>
          <w:bCs/>
          <w:color w:val="231F20"/>
          <w:sz w:val="20"/>
          <w:szCs w:val="20"/>
        </w:rPr>
        <w:t xml:space="preserve">Industry Partner Contributions (Not Cost Share)</w:t>
      </w:r>
    </w:p>
    <w:p>
      <w:pPr>
        <w:spacing w:before="0" w:after="120"/>
      </w:pPr>
      <w:r>
        <w:rPr>
          <w:rFonts w:ascii="Open Sans" w:hAnsi="Open Sans" w:eastAsia="Open Sans" w:cs="Open Sans"/>
          <w:color w:val="231F20"/>
          <w:sz w:val="20"/>
          <w:szCs w:val="20"/>
        </w:rPr>
        <w:t xml:space="preserve">JCATI projects work best when the industry partner is an active participant. We encourage every partner to bring its own resources to the project, such as materials, testing, facility or equipment access, staff time, student internships, or its own spending on project needs. A contribution that is well matched to the project makes a proposal more competitive, and it shows the Legislature that state funds are attracting private investment in WA aerospace innovation.</w:t>
      </w:r>
    </w:p>
    <w:p>
      <w:pPr>
        <w:pStyle w:val="ListParagraph"/>
        <w:numPr>
          <w:ilvl w:val="0"/>
          <w:numId w:val="1"/>
        </w:numPr>
        <w:spacing w:before="0" w:after="60"/>
      </w:pPr>
      <w:r>
        <w:rPr>
          <w:rFonts w:ascii="Open Sans" w:hAnsi="Open Sans" w:eastAsia="Open Sans" w:cs="Open Sans"/>
          <w:color w:val="231F20"/>
          <w:sz w:val="20"/>
          <w:szCs w:val="20"/>
        </w:rPr>
        <w:t xml:space="preserve">There is no required minimum, and this is not cost share. JCATI requires no cost share or match of any kind from applicants or their institutions.</w:t>
      </w:r>
    </w:p>
    <w:p>
      <w:pPr>
        <w:pStyle w:val="ListParagraph"/>
        <w:numPr>
          <w:ilvl w:val="0"/>
          <w:numId w:val="1"/>
        </w:numPr>
        <w:spacing w:before="0" w:after="60"/>
      </w:pPr>
      <w:r>
        <w:rPr>
          <w:rFonts w:ascii="Open Sans" w:hAnsi="Open Sans" w:eastAsia="Open Sans" w:cs="Open Sans"/>
          <w:color w:val="231F20"/>
          <w:sz w:val="20"/>
          <w:szCs w:val="20"/>
        </w:rPr>
        <w:t xml:space="preserve">The industry partner describes its planned support in its letter of support. The more specific the letter is about what the partner will provide, the stronger the proposal.</w:t>
      </w:r>
    </w:p>
    <w:p>
      <w:pPr>
        <w:pStyle w:val="ListParagraph"/>
        <w:numPr>
          <w:ilvl w:val="0"/>
          <w:numId w:val="1"/>
        </w:numPr>
        <w:spacing w:before="0" w:after="60"/>
      </w:pPr>
      <w:r>
        <w:rPr>
          <w:rFonts w:ascii="Open Sans" w:hAnsi="Open Sans" w:eastAsia="Open Sans" w:cs="Open Sans"/>
          <w:color w:val="231F20"/>
          <w:sz w:val="20"/>
          <w:szCs w:val="20"/>
        </w:rPr>
        <w:t xml:space="preserve">At project end, the industry partner must provide a letter stating what it delivered. That letter is shared with the Joint Legislative Audit and Review Committee (JLARC), which reviews the JCATI program's performance for the Legislature.</w:t>
      </w:r>
    </w:p>
    <w:tbl>
      <w:tblPr>
        <w:tblW w:w="9360" w:type="dxa"/>
        <w:tblBorders>
          <w:top w:val="single" w:sz="4" w:space="0" w:color="008E60"/>
          <w:left w:val="single" w:sz="4" w:space="0" w:color="008E60"/>
          <w:bottom w:val="single" w:sz="4" w:space="0" w:color="008E60"/>
          <w:right w:val="single" w:sz="4" w:space="0" w:color="008E60"/>
          <w:insideH w:val="single" w:sz="4" w:space="0" w:color="008E60"/>
          <w:insideV w:val="single" w:sz="4" w:space="0" w:color="008E60"/>
        </w:tblBorders>
        <w:tblLayout w:type="fixed"/>
      </w:tblPr>
      <w:tblGrid>
        <w:gridCol w:w="9360"/>
      </w:tblGrid>
      <w:tr>
        <w:tc>
          <w:tcPr>
            <w:tcW w:w="9360" w:type="dxa"/>
            <w:shd w:val="clear" w:color="auto" w:fill="E5F4E4"/>
            <w:tcMar>
              <w:top w:w="120" w:type="dxa"/>
              <w:left w:w="160" w:type="dxa"/>
              <w:bottom w:w="120" w:type="dxa"/>
              <w:right w:w="160" w:type="dxa"/>
            </w:tcMar>
          </w:tcPr>
          <w:p>
            <w:pPr>
              <w:spacing w:before="0" w:after="60"/>
            </w:pPr>
            <w:r>
              <w:rPr>
                <w:rFonts w:ascii="Open Sans" w:hAnsi="Open Sans" w:eastAsia="Open Sans" w:cs="Open Sans"/>
                <w:b/>
                <w:bCs/>
                <w:color w:val="231F20"/>
                <w:sz w:val="20"/>
                <w:szCs w:val="20"/>
              </w:rPr>
              <w:t xml:space="preserve">At a glance: what each industry partner provides</w:t>
            </w:r>
          </w:p>
          <w:p>
            <w:pPr>
              <w:pStyle w:val="ListParagraph"/>
              <w:numPr>
                <w:ilvl w:val="0"/>
                <w:numId w:val="1"/>
              </w:numPr>
              <w:spacing w:before="0" w:after="60"/>
            </w:pPr>
            <w:r>
              <w:rPr>
                <w:rFonts w:ascii="Open Sans" w:hAnsi="Open Sans" w:eastAsia="Open Sans" w:cs="Open Sans"/>
                <w:color w:val="231F20"/>
                <w:sz w:val="20"/>
                <w:szCs w:val="20"/>
              </w:rPr>
              <w:t xml:space="preserve">A Washington presence, with the majority of project work and impact in WA.</w:t>
            </w:r>
          </w:p>
          <w:p>
            <w:pPr>
              <w:pStyle w:val="ListParagraph"/>
              <w:numPr>
                <w:ilvl w:val="0"/>
                <w:numId w:val="1"/>
              </w:numPr>
              <w:spacing w:before="0" w:after="60"/>
            </w:pPr>
            <w:r>
              <w:rPr>
                <w:rFonts w:ascii="Open Sans" w:hAnsi="Open Sans" w:eastAsia="Open Sans" w:cs="Open Sans"/>
                <w:color w:val="231F20"/>
                <w:sz w:val="20"/>
                <w:szCs w:val="20"/>
              </w:rPr>
              <w:t xml:space="preserve">A signed letter of support on the JCATI template describing its planned support (Section V).</w:t>
            </w:r>
          </w:p>
          <w:p>
            <w:pPr>
              <w:pStyle w:val="ListParagraph"/>
              <w:numPr>
                <w:ilvl w:val="0"/>
                <w:numId w:val="1"/>
              </w:numPr>
              <w:spacing w:before="0" w:after="60"/>
            </w:pPr>
            <w:r>
              <w:rPr>
                <w:rFonts w:ascii="Open Sans" w:hAnsi="Open Sans" w:eastAsia="Open Sans" w:cs="Open Sans"/>
                <w:color w:val="231F20"/>
                <w:sz w:val="20"/>
                <w:szCs w:val="20"/>
              </w:rPr>
              <w:t xml:space="preserve">A signed Industry Partner Attestation Form (Section IX).</w:t>
            </w:r>
          </w:p>
          <w:p>
            <w:pPr>
              <w:pStyle w:val="ListParagraph"/>
              <w:numPr>
                <w:ilvl w:val="0"/>
                <w:numId w:val="1"/>
              </w:numPr>
              <w:spacing w:before="0" w:after="60"/>
            </w:pPr>
            <w:r>
              <w:rPr>
                <w:rFonts w:ascii="Open Sans" w:hAnsi="Open Sans" w:eastAsia="Open Sans" w:cs="Open Sans"/>
                <w:color w:val="231F20"/>
                <w:sz w:val="20"/>
                <w:szCs w:val="20"/>
              </w:rPr>
              <w:t xml:space="preserve">The signed acknowledgment page of the FY2028 Intellectual Property (IP) Terms (Section VIII) and, if the project is selected, a signed IP election with the university (see “Management and Ownership of Intellectual Property”).</w:t>
            </w:r>
          </w:p>
          <w:p>
            <w:pPr>
              <w:pStyle w:val="ListParagraph"/>
              <w:numPr>
                <w:ilvl w:val="0"/>
                <w:numId w:val="1"/>
              </w:numPr>
              <w:spacing w:before="0" w:after="60"/>
            </w:pPr>
            <w:r>
              <w:rPr>
                <w:rFonts w:ascii="Open Sans" w:hAnsi="Open Sans" w:eastAsia="Open Sans" w:cs="Open Sans"/>
                <w:color w:val="231F20"/>
                <w:sz w:val="20"/>
                <w:szCs w:val="20"/>
              </w:rPr>
              <w:t xml:space="preserve">Agreement with the PI on what JCATI may share publicly if the project is funded (Application Cover Sheet).</w:t>
            </w:r>
          </w:p>
          <w:p>
            <w:pPr>
              <w:pStyle w:val="ListParagraph"/>
              <w:numPr>
                <w:ilvl w:val="0"/>
                <w:numId w:val="1"/>
              </w:numPr>
              <w:spacing w:before="0" w:after="60"/>
            </w:pPr>
            <w:r>
              <w:rPr>
                <w:rFonts w:ascii="Open Sans" w:hAnsi="Open Sans" w:eastAsia="Open Sans" w:cs="Open Sans"/>
                <w:color w:val="231F20"/>
                <w:sz w:val="20"/>
                <w:szCs w:val="20"/>
              </w:rPr>
              <w:t xml:space="preserve">A short survey at the start of the project and again at its end.</w:t>
            </w:r>
          </w:p>
          <w:p>
            <w:pPr>
              <w:pStyle w:val="ListParagraph"/>
              <w:numPr>
                <w:ilvl w:val="0"/>
                <w:numId w:val="1"/>
              </w:numPr>
              <w:spacing w:before="0" w:after="60"/>
            </w:pPr>
            <w:r>
              <w:rPr>
                <w:rFonts w:ascii="Open Sans" w:hAnsi="Open Sans" w:eastAsia="Open Sans" w:cs="Open Sans"/>
                <w:color w:val="231F20"/>
                <w:sz w:val="20"/>
                <w:szCs w:val="20"/>
              </w:rPr>
              <w:t xml:space="preserve">A closing letter at project end stating the support it delivered, the estimated value of this support, and how the technology transitioned to the company.</w:t>
            </w:r>
          </w:p>
        </w:tc>
      </w:tr>
    </w:tbl>
    <w:p>
      <w:pPr>
        <w:spacing w:before="0" w:after="60"/>
      </w:pPr>
    </w:p>
    <w:p>
      <w:pPr>
        <w:spacing w:before="0" w:after="120"/>
      </w:pPr>
      <w:r>
        <w:rPr>
          <w:rFonts w:ascii="Open Sans" w:hAnsi="Open Sans" w:eastAsia="Open Sans" w:cs="Open Sans"/>
          <w:b/>
          <w:bCs/>
          <w:color w:val="231F20"/>
          <w:sz w:val="20"/>
          <w:szCs w:val="20"/>
        </w:rPr>
        <w:t xml:space="preserve">Industry Partner Packet.</w:t>
      </w:r>
      <w:r>
        <w:rPr>
          <w:rFonts w:ascii="Open Sans" w:hAnsi="Open Sans" w:eastAsia="Open Sans" w:cs="Open Sans"/>
          <w:color w:val="231F20"/>
          <w:sz w:val="20"/>
          <w:szCs w:val="20"/>
        </w:rPr>
        <w:t xml:space="preserve"> The three documents each partner signs with the proposal (the letter of support template, the Industry Partner Attestation Form, and the FY2028 IP Terms acknowledgment page) are posted together as one Industry Partner Packet on the JCATI funding page under Forms and Downloads, with a one-page guide to what the partner signs and why. The IP acknowledgment page must be signed by a person authorized to sign for the company, which at some firms requires legal review. Share the packet with your industry partner as soon as you agree to work together, and allow several weeks for signatures. A company partnering on more than one proposal signs a set for each.</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Management and Ownership of Intellectual Property</w:t>
      </w:r>
    </w:p>
    <w:p>
      <w:pPr>
        <w:spacing w:before="0" w:after="120"/>
      </w:pPr>
      <w:r>
        <w:rPr>
          <w:rFonts w:ascii="Open Sans" w:hAnsi="Open Sans" w:eastAsia="Open Sans" w:cs="Open Sans"/>
          <w:color w:val="231F20"/>
          <w:sz w:val="20"/>
          <w:szCs w:val="20"/>
        </w:rPr>
        <w:t xml:space="preserve">Intellectual property terms for a JCATI-funded project are set by, and agreed with, the university where the PI is employed; JCATI is not a party to them. Every application must include the signed acknowledgment page of the FY2028 Intellectual Property Terms (Section VIII). By signing it, the PI and the industry partner acknowledge that they are aware of the different options available for developing an IP management agreement. Signing it does not create an agreement or make an election. Applications missing the signed acknowledgment page will not be considered for funding.</w:t>
      </w:r>
    </w:p>
    <w:p>
      <w:pPr>
        <w:spacing w:before="0" w:after="120"/>
      </w:pPr>
      <w:r>
        <w:rPr>
          <w:rFonts w:ascii="Open Sans" w:hAnsi="Open Sans" w:eastAsia="Open Sans" w:cs="Open Sans"/>
          <w:color w:val="231F20"/>
          <w:sz w:val="20"/>
          <w:szCs w:val="20"/>
        </w:rPr>
        <w:t xml:space="preserve">If the project is selected, the university and the industry partner choose one of two options: decline an IP management agreement (Option 1) or complete a Collaborative Research Agreement for their project (Option 2). This IP election, and any agreement, is completed in May–June 2027, before the July 1, 2027 project start. Award funds are released after the university IP office confirms the signed election to JCATI. The FY2028 IP Terms, posted on the JCATI funding page under Forms and Downloads, are the controlling text. For questions about the IP Terms or the Collaborative Research Agreement, contact the IP office at the PI's university:</w:t>
      </w:r>
    </w:p>
    <w:p>
      <w:pPr>
        <w:pStyle w:val="ListParagraph"/>
        <w:numPr>
          <w:ilvl w:val="0"/>
          <w:numId w:val="1"/>
        </w:numPr>
        <w:spacing w:before="0" w:after="60"/>
      </w:pPr>
      <w:r>
        <w:rPr>
          <w:rFonts w:ascii="Open Sans" w:hAnsi="Open Sans" w:eastAsia="Open Sans" w:cs="Open Sans"/>
          <w:color w:val="231F20"/>
          <w:sz w:val="20"/>
          <w:szCs w:val="20"/>
        </w:rPr>
        <w:t xml:space="preserve">UW CoMotion: Forest Bohrer (fbohrer@uw.edu), Senior Innovation Manager, Engineering</w:t>
      </w:r>
    </w:p>
    <w:p>
      <w:pPr>
        <w:pStyle w:val="ListParagraph"/>
        <w:numPr>
          <w:ilvl w:val="0"/>
          <w:numId w:val="1"/>
        </w:numPr>
        <w:spacing w:before="0" w:after="60"/>
      </w:pPr>
      <w:r>
        <w:rPr>
          <w:rFonts w:ascii="Open Sans" w:hAnsi="Open Sans" w:eastAsia="Open Sans" w:cs="Open Sans"/>
          <w:color w:val="231F20"/>
          <w:sz w:val="20"/>
          <w:szCs w:val="20"/>
        </w:rPr>
        <w:t xml:space="preserve">WSU Innovation and Entrepreneurship: Jeremy Tamsen (jeremy.tamsen@wsu.edu), Senior Director, Innovation and Entrepreneurship</w:t>
      </w:r>
    </w:p>
    <w:p>
      <w:pPr>
        <w:pStyle w:val="ListParagraph"/>
        <w:numPr>
          <w:ilvl w:val="0"/>
          <w:numId w:val="1"/>
        </w:numPr>
        <w:spacing w:before="0" w:after="60"/>
      </w:pPr>
      <w:r>
        <w:rPr>
          <w:rFonts w:ascii="Open Sans" w:hAnsi="Open Sans" w:eastAsia="Open Sans" w:cs="Open Sans"/>
          <w:color w:val="231F20"/>
          <w:sz w:val="20"/>
          <w:szCs w:val="20"/>
        </w:rPr>
        <w:t xml:space="preserve">WWU: David Patrick (dpatrick@wwu.edu), Dean of the Graduate School and Vice Provost for Research</w:t>
      </w:r>
    </w:p>
    <w:p>
      <w:pPr>
        <w:pStyle w:val="ListParagraph"/>
        <w:numPr>
          <w:ilvl w:val="0"/>
          <w:numId w:val="1"/>
        </w:numPr>
        <w:spacing w:before="0" w:after="60"/>
      </w:pPr>
      <w:r>
        <w:rPr>
          <w:rFonts w:ascii="Open Sans" w:hAnsi="Open Sans" w:eastAsia="Open Sans" w:cs="Open Sans"/>
          <w:color w:val="231F20"/>
          <w:sz w:val="20"/>
          <w:szCs w:val="20"/>
        </w:rPr>
        <w:t xml:space="preserve">CWU: Grants and Contracts</w:t>
      </w:r>
    </w:p>
    <w:p>
      <w:pPr>
        <w:pStyle w:val="ListParagraph"/>
        <w:numPr>
          <w:ilvl w:val="0"/>
          <w:numId w:val="1"/>
        </w:numPr>
        <w:spacing w:before="0" w:after="60"/>
      </w:pPr>
      <w:r>
        <w:rPr>
          <w:rFonts w:ascii="Open Sans" w:hAnsi="Open Sans" w:eastAsia="Open Sans" w:cs="Open Sans"/>
          <w:color w:val="231F20"/>
          <w:sz w:val="20"/>
          <w:szCs w:val="20"/>
        </w:rPr>
        <w:t xml:space="preserve">EWU: Office of Grant and Research Development</w:t>
      </w:r>
    </w:p>
    <w:p>
      <w:pPr>
        <w:pStyle w:val="ListParagraph"/>
        <w:numPr>
          <w:ilvl w:val="0"/>
          <w:numId w:val="1"/>
        </w:numPr>
        <w:spacing w:before="0" w:after="60"/>
      </w:pPr>
      <w:r>
        <w:rPr>
          <w:rFonts w:ascii="Open Sans" w:hAnsi="Open Sans" w:eastAsia="Open Sans" w:cs="Open Sans"/>
          <w:color w:val="231F20"/>
          <w:sz w:val="20"/>
          <w:szCs w:val="20"/>
        </w:rPr>
        <w:t xml:space="preserve">The Evergreen State College: Grants and Foundation Relations</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Award Information</w:t>
      </w:r>
    </w:p>
    <w:p>
      <w:pPr>
        <w:pStyle w:val="ListParagraph"/>
        <w:numPr>
          <w:ilvl w:val="0"/>
          <w:numId w:val="1"/>
        </w:numPr>
        <w:spacing w:before="0" w:after="60"/>
      </w:pPr>
      <w:r>
        <w:rPr>
          <w:rFonts w:ascii="Open Sans" w:hAnsi="Open Sans" w:eastAsia="Open Sans" w:cs="Open Sans"/>
          <w:color w:val="231F20"/>
          <w:sz w:val="20"/>
          <w:szCs w:val="20"/>
        </w:rPr>
        <w:t xml:space="preserve">Estimated number of awards for 2027–28: 10–12.</w:t>
      </w:r>
    </w:p>
    <w:p>
      <w:pPr>
        <w:pStyle w:val="ListParagraph"/>
        <w:numPr>
          <w:ilvl w:val="0"/>
          <w:numId w:val="1"/>
        </w:numPr>
        <w:spacing w:before="0" w:after="60"/>
      </w:pPr>
      <w:r>
        <w:rPr>
          <w:rFonts w:ascii="Open Sans" w:hAnsi="Open Sans" w:eastAsia="Open Sans" w:cs="Open Sans"/>
          <w:color w:val="231F20"/>
          <w:sz w:val="20"/>
          <w:szCs w:val="20"/>
        </w:rPr>
        <w:t xml:space="preserve">Base budget request: $115,000. Applicants may request an optional $5,000 for the Undergraduate Scholars Program (USP).</w:t>
      </w:r>
    </w:p>
    <w:p>
      <w:pPr>
        <w:pStyle w:val="ListParagraph"/>
        <w:numPr>
          <w:ilvl w:val="0"/>
          <w:numId w:val="1"/>
        </w:numPr>
        <w:spacing w:before="0" w:after="60"/>
      </w:pPr>
      <w:r>
        <w:rPr>
          <w:rFonts w:ascii="Open Sans" w:hAnsi="Open Sans" w:eastAsia="Open Sans" w:cs="Open Sans"/>
          <w:color w:val="231F20"/>
          <w:sz w:val="20"/>
          <w:szCs w:val="20"/>
        </w:rPr>
        <w:t xml:space="preserve">The project period is one year: July 1, 2027, to June 30, 2028.</w:t>
      </w:r>
    </w:p>
    <w:p>
      <w:pPr>
        <w:pStyle w:val="ListParagraph"/>
        <w:numPr>
          <w:ilvl w:val="0"/>
          <w:numId w:val="1"/>
        </w:numPr>
        <w:spacing w:before="0" w:after="60"/>
      </w:pPr>
      <w:r>
        <w:rPr>
          <w:rFonts w:ascii="Open Sans" w:hAnsi="Open Sans" w:eastAsia="Open Sans" w:cs="Open Sans"/>
          <w:color w:val="231F20"/>
          <w:sz w:val="20"/>
          <w:szCs w:val="20"/>
        </w:rPr>
        <w:t xml:space="preserve">All JCATI funds must be spent by June 30, 2028. No-cost extensions are not allowed. Any unspent funds must be returned to the state through the University of Washington.</w:t>
      </w:r>
    </w:p>
    <w:p>
      <w:pPr>
        <w:pStyle w:val="ListParagraph"/>
        <w:numPr>
          <w:ilvl w:val="0"/>
          <w:numId w:val="1"/>
        </w:numPr>
        <w:spacing w:before="0" w:after="60"/>
      </w:pPr>
      <w:r>
        <w:rPr>
          <w:rFonts w:ascii="Open Sans" w:hAnsi="Open Sans" w:eastAsia="Open Sans" w:cs="Open Sans"/>
          <w:color w:val="231F20"/>
          <w:sz w:val="20"/>
          <w:szCs w:val="20"/>
        </w:rPr>
        <w:t xml:space="preserve">Awardees and their students are required to present projects at the spring 2028 JCATI symposium at Western Washington University in Bellingham (date TBD).</w:t>
      </w:r>
    </w:p>
    <w:p>
      <w:pPr>
        <w:pStyle w:val="ListParagraph"/>
        <w:numPr>
          <w:ilvl w:val="0"/>
          <w:numId w:val="1"/>
        </w:numPr>
        <w:spacing w:before="0" w:after="60"/>
      </w:pPr>
      <w:r>
        <w:rPr>
          <w:rFonts w:ascii="Open Sans" w:hAnsi="Open Sans" w:eastAsia="Open Sans" w:cs="Open Sans"/>
          <w:color w:val="231F20"/>
          <w:sz w:val="20"/>
          <w:szCs w:val="20"/>
        </w:rPr>
        <w:t xml:space="preserve">A final report requiring information from both academic and industry partners is due by close of business (5:00 PM PDT) on Monday, July 17, 2028.</w:t>
      </w:r>
    </w:p>
    <w:p>
      <w:pPr>
        <w:keepNext/>
        <w:spacing w:before="160" w:after="80"/>
      </w:pPr>
      <w:r>
        <w:rPr>
          <w:rFonts w:eastAsia="Montserrat" w:cs="Montserrat" w:ascii="Montserrat" w:hAnsi="Montserrat"/>
          <w:b/>
          <w:bCs/>
          <w:color w:val="231F20"/>
          <w:sz w:val="20"/>
          <w:szCs w:val="20"/>
        </w:rPr>
        <w:t xml:space="preserve">What JCATI Awards Cover</w:t>
      </w:r>
    </w:p>
    <w:p>
      <w:pPr>
        <w:spacing w:before="0" w:after="120"/>
      </w:pPr>
      <w:r>
        <w:rPr>
          <w:rFonts w:ascii="Open Sans" w:hAnsi="Open Sans" w:eastAsia="Open Sans" w:cs="Open Sans"/>
          <w:color w:val="231F20"/>
          <w:sz w:val="20"/>
          <w:szCs w:val="20"/>
        </w:rPr>
        <w:t xml:space="preserve">JCATI awards mainly pay students to work on the project, plus a limited share of investigator time and the supplies, services, and U.S. travel the project needs. Section VII lists allowable costs by budget category.</w:t>
      </w:r>
    </w:p>
    <w:p>
      <w:pPr>
        <w:pStyle w:val="ListParagraph"/>
        <w:numPr>
          <w:ilvl w:val="0"/>
          <w:numId w:val="1"/>
        </w:numPr>
        <w:spacing w:before="0" w:after="60"/>
      </w:pPr>
      <w:r>
        <w:rPr>
          <w:rFonts w:ascii="Open Sans" w:hAnsi="Open Sans" w:eastAsia="Open Sans" w:cs="Open Sans"/>
          <w:b/>
          <w:bCs/>
          <w:color w:val="231F20"/>
          <w:sz w:val="20"/>
          <w:szCs w:val="20"/>
        </w:rPr>
        <w:t xml:space="preserve">Students.</w:t>
      </w:r>
      <w:r>
        <w:rPr>
          <w:rFonts w:ascii="Open Sans" w:hAnsi="Open Sans" w:eastAsia="Open Sans" w:cs="Open Sans"/>
          <w:color w:val="231F20"/>
          <w:sz w:val="20"/>
          <w:szCs w:val="20"/>
        </w:rPr>
        <w:t xml:space="preserve"> Award funds primarily support WA engineering or engineering technology students, graduate and undergraduate, working on the project, whichever unit holds the budget.</w:t>
      </w:r>
    </w:p>
    <w:p>
      <w:pPr>
        <w:pStyle w:val="ListParagraph"/>
        <w:numPr>
          <w:ilvl w:val="0"/>
          <w:numId w:val="1"/>
        </w:numPr>
        <w:spacing w:before="0" w:after="60"/>
      </w:pPr>
      <w:r>
        <w:rPr>
          <w:rFonts w:ascii="Open Sans" w:hAnsi="Open Sans" w:eastAsia="Open Sans" w:cs="Open Sans"/>
          <w:b/>
          <w:bCs/>
          <w:color w:val="231F20"/>
          <w:sz w:val="20"/>
          <w:szCs w:val="20"/>
        </w:rPr>
        <w:t xml:space="preserve">Tuition waivers.</w:t>
      </w:r>
      <w:r>
        <w:rPr>
          <w:rFonts w:ascii="Open Sans" w:hAnsi="Open Sans" w:eastAsia="Open Sans" w:cs="Open Sans"/>
          <w:color w:val="231F20"/>
          <w:sz w:val="20"/>
          <w:szCs w:val="20"/>
        </w:rPr>
        <w:t xml:space="preserve"> Graduate students on JCATI projects generally receive a tuition waiver, and waived tuition is not a JCATI budget cost or cost share: please leave it out of the proposal budget and do not state a dollar value for it. At UW, the waiver is a standard part of the appointment, except for Mechanical Engineering master's students taking Professional &amp; Continuing Education (PCE) courses. At WSU, waivers are not automatic; please get an approved Graduate School waiver commitment before routing the proposal. At WWU, CWU, EWU, and The Evergreen State College, confirm the current policy with your Graduate School or grants office. Budget tuition as a direct cost only where no waiver applies.</w:t>
      </w:r>
    </w:p>
    <w:p>
      <w:pPr>
        <w:pStyle w:val="ListParagraph"/>
        <w:numPr>
          <w:ilvl w:val="0"/>
          <w:numId w:val="1"/>
        </w:numPr>
        <w:spacing w:before="0" w:after="60"/>
      </w:pPr>
      <w:r>
        <w:rPr>
          <w:rFonts w:ascii="Open Sans" w:hAnsi="Open Sans" w:eastAsia="Open Sans" w:cs="Open Sans"/>
          <w:b/>
          <w:bCs/>
          <w:color w:val="231F20"/>
          <w:sz w:val="20"/>
          <w:szCs w:val="20"/>
        </w:rPr>
        <w:t xml:space="preserve">Undergraduate Scholars Program (USP) funds.</w:t>
      </w:r>
      <w:r>
        <w:rPr>
          <w:rFonts w:ascii="Open Sans" w:hAnsi="Open Sans" w:eastAsia="Open Sans" w:cs="Open Sans"/>
          <w:color w:val="231F20"/>
          <w:sz w:val="20"/>
          <w:szCs w:val="20"/>
        </w:rPr>
        <w:t xml:space="preserve"> A project may request up to $5,000 in USP funds (Section D) to support meaningful undergraduate research on the project for a defined period: a quarter, a summer, part of an academic year, or the full project.</w:t>
      </w:r>
    </w:p>
    <w:p>
      <w:pPr>
        <w:pStyle w:val="ListParagraph"/>
        <w:numPr>
          <w:ilvl w:val="1"/>
          <w:numId w:val="1"/>
        </w:numPr>
        <w:spacing w:before="0" w:after="60"/>
      </w:pPr>
      <w:r>
        <w:rPr>
          <w:rFonts w:ascii="Open Sans" w:hAnsi="Open Sans" w:eastAsia="Open Sans" w:cs="Open Sans"/>
          <w:color w:val="231F20"/>
          <w:sz w:val="20"/>
          <w:szCs w:val="20"/>
        </w:rPr>
        <w:t xml:space="preserve">USP funds may pay hourly wages or a stipend for undergraduate students, generally at the institution's competitive rate for research assistants; student fringe benefits on USP-funded wages, charged to Category 7 so that wages plus fringe stay within $5,000 (a stipend with no benefits load needs no fringe); costs tied directly to the student's participation, such as poster materials for an institutional research showcase or the JCATI symposium; and opportunities for the student to engage with the industry partner and academic mentors, such as site visits and partner meetings.</w:t>
      </w:r>
    </w:p>
    <w:p>
      <w:pPr>
        <w:pStyle w:val="ListParagraph"/>
        <w:numPr>
          <w:ilvl w:val="1"/>
          <w:numId w:val="1"/>
        </w:numPr>
        <w:spacing w:before="0" w:after="60"/>
      </w:pPr>
      <w:r>
        <w:rPr>
          <w:rFonts w:ascii="Open Sans" w:hAnsi="Open Sans" w:eastAsia="Open Sans" w:cs="Open Sans"/>
          <w:color w:val="231F20"/>
          <w:sz w:val="20"/>
          <w:szCs w:val="20"/>
        </w:rPr>
        <w:t xml:space="preserve">USP funds may not pay for general project supplies, equipment, travel for students not funded by USP, tuition, graduate students, or other project costs. If a USP student leaves the project, replace them with another undergraduate or return the unspent USP funds.</w:t>
      </w:r>
    </w:p>
    <w:p>
      <w:pPr>
        <w:pStyle w:val="ListParagraph"/>
        <w:numPr>
          <w:ilvl w:val="0"/>
          <w:numId w:val="1"/>
        </w:numPr>
        <w:spacing w:before="0" w:after="60"/>
      </w:pPr>
      <w:r>
        <w:rPr>
          <w:rFonts w:ascii="Open Sans" w:hAnsi="Open Sans" w:eastAsia="Open Sans" w:cs="Open Sans"/>
          <w:b/>
          <w:bCs/>
          <w:color w:val="231F20"/>
          <w:sz w:val="20"/>
          <w:szCs w:val="20"/>
        </w:rPr>
        <w:t xml:space="preserve">Limited investigator pay.</w:t>
      </w:r>
      <w:r>
        <w:rPr>
          <w:rFonts w:ascii="Open Sans" w:hAnsi="Open Sans" w:eastAsia="Open Sans" w:cs="Open Sans"/>
          <w:color w:val="231F20"/>
          <w:sz w:val="20"/>
          <w:szCs w:val="20"/>
        </w:rPr>
        <w:t xml:space="preserve"> Tenure-track faculty may receive up to 1.0 month of summer salary, and other investigators up to 3 months of salary. An investigator may draw salary from only one JCATI project per funding cycle. Retired investigators must also stay within their institution's reemployment limit (at UW, 40% of base salary at retirement per calendar year). Investigators employed full time outside the institution, including employees of the project's industry partner, are not eligible to receive JCATI funds for salary. JCATI awards may require a temporary or summer appointment, for example for summer salary, retired, emeritus, affiliate, or part-time investigators, or student hourly hires. Confirm the appointment type, timing, and any limits with your department's HR staff before you submit.</w:t>
      </w:r>
    </w:p>
    <w:p>
      <w:pPr>
        <w:pStyle w:val="ListParagraph"/>
        <w:numPr>
          <w:ilvl w:val="0"/>
          <w:numId w:val="1"/>
        </w:numPr>
        <w:spacing w:before="0" w:after="60"/>
      </w:pPr>
      <w:r>
        <w:rPr>
          <w:rFonts w:ascii="Open Sans" w:hAnsi="Open Sans" w:eastAsia="Open Sans" w:cs="Open Sans"/>
          <w:b/>
          <w:bCs/>
          <w:color w:val="231F20"/>
          <w:sz w:val="20"/>
          <w:szCs w:val="20"/>
        </w:rPr>
        <w:t xml:space="preserve">Travel.</w:t>
      </w:r>
      <w:r>
        <w:rPr>
          <w:rFonts w:ascii="Open Sans" w:hAnsi="Open Sans" w:eastAsia="Open Sans" w:cs="Open Sans"/>
          <w:color w:val="231F20"/>
          <w:sz w:val="20"/>
          <w:szCs w:val="20"/>
        </w:rPr>
        <w:t xml:space="preserve"> US travel only, mainly to industry partner facilities for meetings and onsite testing. JCATI funds cannot be used for foreign transactions.</w:t>
      </w:r>
    </w:p>
    <w:p>
      <w:pPr>
        <w:pStyle w:val="ListParagraph"/>
        <w:numPr>
          <w:ilvl w:val="0"/>
          <w:numId w:val="1"/>
        </w:numPr>
        <w:spacing w:before="0" w:after="60"/>
      </w:pPr>
      <w:r>
        <w:rPr>
          <w:rFonts w:ascii="Open Sans" w:hAnsi="Open Sans" w:eastAsia="Open Sans" w:cs="Open Sans"/>
          <w:b/>
          <w:bCs/>
          <w:color w:val="231F20"/>
          <w:sz w:val="20"/>
          <w:szCs w:val="20"/>
        </w:rPr>
        <w:t xml:space="preserve">No indirect costs.</w:t>
      </w:r>
      <w:r>
        <w:rPr>
          <w:rFonts w:ascii="Open Sans" w:hAnsi="Open Sans" w:eastAsia="Open Sans" w:cs="Open Sans"/>
          <w:color w:val="231F20"/>
          <w:sz w:val="20"/>
          <w:szCs w:val="20"/>
        </w:rPr>
        <w:t xml:space="preserve"> JCATI is a WA state appropriation, not a federal or federal pass-through award, so awards carry no facilities and administrative (F&amp;A) costs, also called indirects or overhead, and the full award goes to direct project work. Fees paid to an institutional shared facility or recharge center for services the project uses, such as testing, fabrication, or instrument time, are allowable; overhead, fees, or recharge assessed on the award itself are not.</w:t>
      </w:r>
    </w:p>
    <w:p>
      <w:pPr>
        <w:pStyle w:val="ListParagraph"/>
        <w:numPr>
          <w:ilvl w:val="0"/>
          <w:numId w:val="1"/>
        </w:numPr>
        <w:spacing w:before="0" w:after="60"/>
      </w:pPr>
      <w:r>
        <w:rPr>
          <w:rFonts w:ascii="Open Sans" w:hAnsi="Open Sans" w:eastAsia="Open Sans" w:cs="Open Sans"/>
          <w:b/>
          <w:bCs/>
          <w:color w:val="231F20"/>
          <w:sz w:val="20"/>
          <w:szCs w:val="20"/>
        </w:rPr>
        <w:t xml:space="preserve">No carry forward.</w:t>
      </w:r>
      <w:r>
        <w:rPr>
          <w:rFonts w:ascii="Open Sans" w:hAnsi="Open Sans" w:eastAsia="Open Sans" w:cs="Open Sans"/>
          <w:color w:val="231F20"/>
          <w:sz w:val="20"/>
          <w:szCs w:val="20"/>
        </w:rPr>
        <w:t xml:space="preserve"> Funds cannot be carried past June 30, 2028, and JCATI does not fund shortfalls, so budget deficits must be resolved by the end of the project period. All unspent funds must be returned to Washington State through the University of Washington. If funds remain unspent at June 30, 2028, contact the JCATI Program Manager.</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Help for Applicants</w:t>
      </w:r>
    </w:p>
    <w:p>
      <w:pPr>
        <w:keepNext/>
        <w:spacing w:before="160" w:after="80"/>
      </w:pPr>
      <w:r>
        <w:rPr>
          <w:rFonts w:eastAsia="Montserrat" w:cs="Montserrat" w:ascii="Montserrat" w:hAnsi="Montserrat"/>
          <w:b/>
          <w:bCs/>
          <w:color w:val="231F20"/>
          <w:sz w:val="20"/>
          <w:szCs w:val="20"/>
        </w:rPr>
        <w:t xml:space="preserve">Looking for an Academic Partner? Ask Any Time (by January 15, 2027, for This Cycle)</w:t>
      </w:r>
    </w:p>
    <w:p>
      <w:pPr>
        <w:spacing w:before="0" w:after="120"/>
      </w:pPr>
      <w:r>
        <w:rPr>
          <w:rFonts w:ascii="Open Sans" w:hAnsi="Open Sans" w:eastAsia="Open Sans" w:cs="Open Sans"/>
          <w:color w:val="231F20"/>
          <w:sz w:val="20"/>
          <w:szCs w:val="20"/>
        </w:rPr>
        <w:t xml:space="preserve">Companies and others seeking university engineering expertise can ask JCATI to help find an academic partner at any time by submitting a one-page, non-confidential project summary through the matchmaking form at jcati.org/funding-request-proposals. JCATI circulates it to former JCATI PIs and other researchers with relevant expertise at the eligible institutions, and introduces the parties where both are interested. When an introduction is made, JCATI also sends the company the Industry Partner Packet so signatures can start early. To be matched in time for this year's proposal deadline, industry partners are strongly encouraged to submit by Friday, January 15, 2027.</w:t>
      </w:r>
    </w:p>
    <w:p>
      <w:pPr>
        <w:keepNext/>
        <w:spacing w:before="160" w:after="80"/>
      </w:pPr>
      <w:r>
        <w:rPr>
          <w:rFonts w:eastAsia="Montserrat" w:cs="Montserrat" w:ascii="Montserrat" w:hAnsi="Montserrat"/>
          <w:b/>
          <w:bCs/>
          <w:color w:val="231F20"/>
          <w:sz w:val="20"/>
          <w:szCs w:val="20"/>
        </w:rPr>
        <w:t xml:space="preserve">Virtual Office Hours</w:t>
      </w:r>
    </w:p>
    <w:p>
      <w:pPr>
        <w:spacing w:before="0" w:after="120"/>
      </w:pPr>
      <w:r>
        <w:rPr>
          <w:rFonts w:ascii="Open Sans" w:hAnsi="Open Sans" w:eastAsia="Open Sans" w:cs="Open Sans"/>
          <w:color w:val="231F20"/>
          <w:sz w:val="20"/>
          <w:szCs w:val="20"/>
        </w:rPr>
        <w:t xml:space="preserve">JCATI will hold three virtual office hours before the deadline to answer applicants' questions. Register for each session at jcati.org.</w:t>
      </w:r>
    </w:p>
    <w:p>
      <w:pPr>
        <w:pStyle w:val="ListParagraph"/>
        <w:numPr>
          <w:ilvl w:val="0"/>
          <w:numId w:val="1"/>
        </w:numPr>
        <w:spacing w:before="0" w:after="60"/>
      </w:pPr>
      <w:r>
        <w:rPr>
          <w:rFonts w:ascii="Open Sans" w:hAnsi="Open Sans" w:eastAsia="Open Sans" w:cs="Open Sans"/>
          <w:color w:val="231F20"/>
          <w:sz w:val="20"/>
          <w:szCs w:val="20"/>
        </w:rPr>
        <w:t xml:space="preserve">Session 1 — Monday, February 1, 2027, 1:00–2:00 PM PST: RFP Overview &amp; General Q&amp;A, including eligibility questions for affiliate, emeritus, research lab, and other investigators</w:t>
      </w:r>
    </w:p>
    <w:p>
      <w:pPr>
        <w:pStyle w:val="ListParagraph"/>
        <w:numPr>
          <w:ilvl w:val="0"/>
          <w:numId w:val="1"/>
        </w:numPr>
        <w:spacing w:before="0" w:after="60"/>
      </w:pPr>
      <w:r>
        <w:rPr>
          <w:rFonts w:ascii="Open Sans" w:hAnsi="Open Sans" w:eastAsia="Open Sans" w:cs="Open Sans"/>
          <w:color w:val="231F20"/>
          <w:sz w:val="20"/>
          <w:szCs w:val="20"/>
        </w:rPr>
        <w:t xml:space="preserve">Session 2 — Thursday, February 11, 2027, 1:00–2:00 PM PST: Budget, Industry Letters &amp; IP Agreement Q&amp;A</w:t>
      </w:r>
    </w:p>
    <w:p>
      <w:pPr>
        <w:pStyle w:val="ListParagraph"/>
        <w:numPr>
          <w:ilvl w:val="0"/>
          <w:numId w:val="1"/>
        </w:numPr>
        <w:spacing w:before="0" w:after="60"/>
      </w:pPr>
      <w:r>
        <w:rPr>
          <w:rFonts w:ascii="Open Sans" w:hAnsi="Open Sans" w:eastAsia="Open Sans" w:cs="Open Sans"/>
          <w:color w:val="231F20"/>
          <w:sz w:val="20"/>
          <w:szCs w:val="20"/>
        </w:rPr>
        <w:t xml:space="preserve">Session 3 — Wednesday, February 17, 2027, 1:00–2:00 PM PST: Final Q&amp;A Before Submission</w:t>
      </w:r>
    </w:p>
    <w:p>
      <w:pPr>
        <w:keepNext/>
        <w:spacing w:before="160" w:after="80"/>
      </w:pPr>
      <w:r>
        <w:rPr>
          <w:rFonts w:eastAsia="Montserrat" w:cs="Montserrat" w:ascii="Montserrat" w:hAnsi="Montserrat"/>
          <w:b/>
          <w:bCs/>
          <w:color w:val="231F20"/>
          <w:sz w:val="20"/>
          <w:szCs w:val="20"/>
        </w:rPr>
        <w:t xml:space="preserve">Optional Narrative Pre-review: Submit by Thursday, January 7, 2027, 5:00 PM PST</w:t>
      </w:r>
    </w:p>
    <w:p>
      <w:pPr>
        <w:spacing w:before="0" w:after="120"/>
      </w:pPr>
      <w:r>
        <w:rPr>
          <w:rFonts w:ascii="Open Sans" w:hAnsi="Open Sans" w:eastAsia="Open Sans" w:cs="Open Sans"/>
          <w:color w:val="231F20"/>
          <w:sz w:val="20"/>
          <w:szCs w:val="20"/>
        </w:rPr>
        <w:t xml:space="preserve">You may submit one draft narrative (Sections A–C, plus Section D if applicable) using the Section III pages of the JCATI drafting template (as a Word document or PDF) through the pre-review form at jcati.org/funding-request-proposals. A JCATI reviewer checks clarity and fit with the RFP structure: whether the industry pain point and proposed solution are clearly stated, the section structure and character limits are followed, and the TRL and industry partnership sections are addressed. Brief written feedback is returned by email, typically within one to two weeks.</w:t>
      </w:r>
    </w:p>
    <w:p>
      <w:pPr>
        <w:spacing w:before="0" w:after="120"/>
      </w:pPr>
      <w:r>
        <w:rPr>
          <w:rFonts w:ascii="Open Sans" w:hAnsi="Open Sans" w:eastAsia="Open Sans" w:cs="Open Sans"/>
          <w:color w:val="231F20"/>
          <w:sz w:val="20"/>
          <w:szCs w:val="20"/>
        </w:rPr>
        <w:t xml:space="preserve">The pre-review does not evaluate technical merit, scope, budget, or fundability, is not scored, and has no effect on the review of your final proposal; skipping it carries no penalty. Do not include the cover sheet, budget, biosketches, or letters of support, and do not email drafts to the Program Manager.</w:t>
      </w:r>
    </w:p>
    <w:p>
      <w:pPr>
        <w:keepNext/>
        <w:spacing w:before="160" w:after="80"/>
      </w:pPr>
      <w:r>
        <w:rPr>
          <w:rFonts w:eastAsia="Montserrat" w:cs="Montserrat" w:ascii="Montserrat" w:hAnsi="Montserrat"/>
          <w:b/>
          <w:bCs/>
          <w:color w:val="231F20"/>
          <w:sz w:val="20"/>
          <w:szCs w:val="20"/>
        </w:rPr>
        <w:t xml:space="preserve">Questions</w:t>
      </w:r>
    </w:p>
    <w:p>
      <w:pPr>
        <w:spacing w:before="0" w:after="120"/>
      </w:pPr>
      <w:r>
        <w:rPr>
          <w:rFonts w:ascii="Open Sans" w:hAnsi="Open Sans" w:eastAsia="Open Sans" w:cs="Open Sans"/>
          <w:color w:val="231F20"/>
          <w:sz w:val="20"/>
          <w:szCs w:val="20"/>
        </w:rPr>
        <w:t xml:space="preserve">Program Contact: Brit Myers, JCATI Program Manager, britm@uw.edu, (206) 685-8063, 241 Aerospace &amp; Engineering, Box 352400, Seattle, WA 98195-2500.</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Proposal Preparation and Submission Instructions</w:t>
      </w:r>
    </w:p>
    <w:p>
      <w:pPr>
        <w:spacing w:before="0" w:after="120"/>
      </w:pPr>
      <w:r>
        <w:rPr>
          <w:rFonts w:ascii="Open Sans" w:hAnsi="Open Sans" w:eastAsia="Open Sans" w:cs="Open Sans"/>
          <w:color w:val="231F20"/>
          <w:sz w:val="20"/>
          <w:szCs w:val="20"/>
        </w:rPr>
        <w:t xml:space="preserve">Proposals are submitted electronically through the JCATI application form found online at jcati.org/funding-request-proposals. Only applications submitted through this form are accepted. Submissions are time stamped on receipt, and late proposals are not reviewed.</w:t>
      </w:r>
    </w:p>
    <w:p>
      <w:pPr>
        <w:spacing w:before="0" w:after="120"/>
      </w:pPr>
      <w:r>
        <w:rPr>
          <w:rFonts w:ascii="Open Sans" w:hAnsi="Open Sans" w:eastAsia="Open Sans" w:cs="Open Sans"/>
          <w:color w:val="231F20"/>
          <w:sz w:val="20"/>
          <w:szCs w:val="20"/>
        </w:rPr>
        <w:t xml:space="preserve">Budget sign-off: allow time for departmental grants staff to review and sign your budget. Key Dates lists the UW Aeronautics &amp; Astronautics and Mechanical Engineering deadlines; applicants in other departments should confirm their grants office's internal deadline.</w:t>
      </w:r>
    </w:p>
    <w:p>
      <w:pPr>
        <w:keepNext/>
        <w:spacing w:before="160" w:after="80"/>
      </w:pPr>
      <w:r>
        <w:rPr>
          <w:rFonts w:eastAsia="Montserrat" w:cs="Montserrat" w:ascii="Montserrat" w:hAnsi="Montserrat"/>
          <w:b/>
          <w:bCs/>
          <w:color w:val="231F20"/>
          <w:sz w:val="20"/>
          <w:szCs w:val="20"/>
        </w:rPr>
        <w:t xml:space="preserve">Submission Checklist</w:t>
      </w:r>
    </w:p>
    <w:p>
      <w:pPr>
        <w:spacing w:before="0" w:after="120"/>
      </w:pPr>
      <w:r>
        <w:rPr>
          <w:rFonts w:ascii="Open Sans" w:hAnsi="Open Sans" w:eastAsia="Open Sans" w:cs="Open Sans"/>
          <w:color w:val="231F20"/>
          <w:sz w:val="20"/>
          <w:szCs w:val="20"/>
        </w:rPr>
        <w:t xml:space="preserve">Every item below is submitted through the online application form. Proposals missing a required item may be returned without review.</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2350"/>
        <w:gridCol w:w="1350"/>
        <w:gridCol w:w="2250"/>
        <w:gridCol w:w="1960"/>
        <w:gridCol w:w="1450"/>
      </w:tblGrid>
      <w:tr>
        <w:trPr>
          <w:tblHeader/>
          <w:cantSplit/>
        </w:trPr>
        <w:tc>
          <w:tcPr>
            <w:tcW w:w="235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Item</w:t>
            </w:r>
          </w:p>
        </w:tc>
        <w:tc>
          <w:tcPr>
            <w:tcW w:w="135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How submitted</w:t>
            </w:r>
          </w:p>
        </w:tc>
        <w:tc>
          <w:tcPr>
            <w:tcW w:w="225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Length or format</w:t>
            </w:r>
          </w:p>
        </w:tc>
        <w:tc>
          <w:tcPr>
            <w:tcW w:w="196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Signed by</w:t>
            </w:r>
          </w:p>
        </w:tc>
        <w:tc>
          <w:tcPr>
            <w:tcW w:w="145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Required?</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 Application Cover Sheet</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Form fields</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II. Project Snapshot</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Form fields (optional image uploads)</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Five short fields; up to three images</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III. Narrative, Sections A–C</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Form fields (optional figure and timeline uploads)</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Character limit for each section (about five pages in total); up to two figures; one timeline</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 (Section D optional, for USP)</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IV. References</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IV. Suggested reviewers</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NSF List of Suggested Reviewers format</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Optional</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 Industry letters of support</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One per partner, on the JCATI template</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Industry partner</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VI. Biosketches</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NSF biographical sketch format (SciENcv preferred, not required); one each for the PI and co-PIs</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VII. Budget totals and justifications</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Form fields</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Total and a few sentences for each of seven categories; up to $115,000 + $5,000 USP</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VII. Equipment quotes</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One per item over $5,000</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Only if requesting equipment over $5,000</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VII. Department Chair certification and budget approval</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One form per proposal</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PI, Department Chair (or head of the unit holding the budget), and departmental grants staff</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VIII. IP Terms acknowledgment page</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Industry partner signatory, PI, and partner lead investigator</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r>
        <w:trPr>
          <w:cantSplit/>
        </w:trPr>
        <w:tc>
          <w:tcPr>
            <w:tcW w:w="2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IX. Industry Partner Attestation Form</w:t>
            </w:r>
          </w:p>
        </w:tc>
        <w:tc>
          <w:tcPr>
            <w:tcW w:w="13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Upload</w:t>
            </w:r>
          </w:p>
        </w:tc>
        <w:tc>
          <w:tcPr>
            <w:tcW w:w="22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One per partner</w:t>
            </w:r>
          </w:p>
        </w:tc>
        <w:tc>
          <w:tcPr>
            <w:tcW w:w="19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Industry partner</w:t>
            </w:r>
          </w:p>
        </w:tc>
        <w:tc>
          <w:tcPr>
            <w:tcW w:w="145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Yes</w:t>
            </w:r>
          </w:p>
        </w:tc>
      </w:tr>
    </w:tbl>
    <w:p>
      <w:pPr>
        <w:spacing w:before="0" w:after="60"/>
      </w:pPr>
    </w:p>
    <w:p>
      <w:pPr>
        <w:spacing w:before="0" w:after="120"/>
      </w:pPr>
      <w:r>
        <w:rPr>
          <w:rFonts w:ascii="Open Sans" w:hAnsi="Open Sans" w:eastAsia="Open Sans" w:cs="Open Sans"/>
          <w:color w:val="231F20"/>
          <w:sz w:val="20"/>
          <w:szCs w:val="20"/>
        </w:rPr>
        <w:t xml:space="preserve">The Department Chair certification is the single signed form for the academic side of the proposal, covering PI eligibility and budget approval. Section VII lists what it confirms.</w:t>
      </w:r>
    </w:p>
    <w:p>
      <w:pPr>
        <w:keepNext/>
        <w:spacing w:before="160" w:after="80"/>
      </w:pPr>
      <w:r>
        <w:rPr>
          <w:rFonts w:eastAsia="Montserrat" w:cs="Montserrat" w:ascii="Montserrat" w:hAnsi="Montserrat"/>
          <w:b/>
          <w:bCs/>
          <w:color w:val="231F20"/>
          <w:sz w:val="20"/>
          <w:szCs w:val="20"/>
        </w:rPr>
        <w:t xml:space="preserve">Proposal Components (Sections I–IX)</w:t>
      </w:r>
    </w:p>
    <w:p>
      <w:pPr>
        <w:spacing w:before="0" w:after="120"/>
      </w:pPr>
      <w:r>
        <w:rPr>
          <w:rFonts w:ascii="Open Sans" w:hAnsi="Open Sans" w:eastAsia="Open Sans" w:cs="Open Sans"/>
          <w:color w:val="231F20"/>
          <w:sz w:val="20"/>
          <w:szCs w:val="20"/>
        </w:rPr>
        <w:t xml:space="preserve">The proposal has nine components. Other sections of this RFP refer to them by number. Each piece of information is asked for once: enter facts in the form fields, and use the narrative for the reasoning behind them rather than repeating them.</w:t>
      </w:r>
    </w:p>
    <w:p>
      <w:pPr>
        <w:keepNext/>
        <w:spacing w:before="160" w:after="80"/>
      </w:pPr>
      <w:r>
        <w:rPr>
          <w:rFonts w:eastAsia="Montserrat" w:cs="Montserrat" w:ascii="Montserrat" w:hAnsi="Montserrat"/>
          <w:b/>
          <w:bCs/>
          <w:color w:val="231F20"/>
          <w:sz w:val="20"/>
          <w:szCs w:val="20"/>
        </w:rPr>
        <w:t xml:space="preserve">I. Application Cover Sheet</w:t>
      </w:r>
    </w:p>
    <w:p>
      <w:pPr>
        <w:spacing w:before="0" w:after="120"/>
      </w:pPr>
      <w:r>
        <w:rPr>
          <w:rFonts w:ascii="Open Sans" w:hAnsi="Open Sans" w:eastAsia="Open Sans" w:cs="Open Sans"/>
          <w:color w:val="231F20"/>
          <w:sz w:val="20"/>
          <w:szCs w:val="20"/>
        </w:rPr>
        <w:t xml:space="preserve">The cover sheet is completed in form fields on the online application. It asks for:</w:t>
      </w:r>
    </w:p>
    <w:p>
      <w:pPr>
        <w:pStyle w:val="ListParagraph"/>
        <w:numPr>
          <w:ilvl w:val="0"/>
          <w:numId w:val="1"/>
        </w:numPr>
        <w:spacing w:before="0" w:after="60"/>
      </w:pPr>
      <w:r>
        <w:rPr>
          <w:rFonts w:ascii="Open Sans" w:hAnsi="Open Sans" w:eastAsia="Open Sans" w:cs="Open Sans"/>
          <w:color w:val="231F20"/>
          <w:sz w:val="20"/>
          <w:szCs w:val="20"/>
        </w:rPr>
        <w:t xml:space="preserve">Project title.</w:t>
      </w:r>
    </w:p>
    <w:p>
      <w:pPr>
        <w:pStyle w:val="ListParagraph"/>
        <w:numPr>
          <w:ilvl w:val="0"/>
          <w:numId w:val="1"/>
        </w:numPr>
        <w:spacing w:before="0" w:after="60"/>
      </w:pPr>
      <w:r>
        <w:rPr>
          <w:rFonts w:ascii="Open Sans" w:hAnsi="Open Sans" w:eastAsia="Open Sans" w:cs="Open Sans"/>
          <w:color w:val="231F20"/>
          <w:sz w:val="20"/>
          <w:szCs w:val="20"/>
        </w:rPr>
        <w:t xml:space="preserve">For the PI and each co-PI: name, title, organization (university or institution), department or unit, and email address.</w:t>
      </w:r>
    </w:p>
    <w:p>
      <w:pPr>
        <w:pStyle w:val="ListParagraph"/>
        <w:numPr>
          <w:ilvl w:val="0"/>
          <w:numId w:val="1"/>
        </w:numPr>
        <w:spacing w:before="0" w:after="60"/>
      </w:pPr>
      <w:r>
        <w:rPr>
          <w:rFonts w:ascii="Open Sans" w:hAnsi="Open Sans" w:eastAsia="Open Sans" w:cs="Open Sans"/>
          <w:color w:val="231F20"/>
          <w:sz w:val="20"/>
          <w:szCs w:val="20"/>
        </w:rPr>
        <w:t xml:space="preserve">The name and email address of the grants manager who will manage the award.</w:t>
      </w:r>
    </w:p>
    <w:p>
      <w:pPr>
        <w:pStyle w:val="ListParagraph"/>
        <w:numPr>
          <w:ilvl w:val="0"/>
          <w:numId w:val="1"/>
        </w:numPr>
        <w:spacing w:before="0" w:after="60"/>
      </w:pPr>
      <w:r>
        <w:rPr>
          <w:rFonts w:ascii="Open Sans" w:hAnsi="Open Sans" w:eastAsia="Open Sans" w:cs="Open Sans"/>
          <w:color w:val="231F20"/>
          <w:sz w:val="20"/>
          <w:szCs w:val="20"/>
        </w:rPr>
        <w:t xml:space="preserve">Funding request.</w:t>
      </w:r>
    </w:p>
    <w:p>
      <w:pPr>
        <w:pStyle w:val="ListParagraph"/>
        <w:numPr>
          <w:ilvl w:val="0"/>
          <w:numId w:val="1"/>
        </w:numPr>
        <w:spacing w:before="0" w:after="60"/>
      </w:pPr>
      <w:r>
        <w:rPr>
          <w:rFonts w:ascii="Open Sans" w:hAnsi="Open Sans" w:eastAsia="Open Sans" w:cs="Open Sans"/>
          <w:color w:val="231F20"/>
          <w:sz w:val="20"/>
          <w:szCs w:val="20"/>
        </w:rPr>
        <w:t xml:space="preserve">Starting and expected ending TRL (use NASA's TRL definitions at esto.nasa.gov/trl).</w:t>
      </w:r>
    </w:p>
    <w:p>
      <w:pPr>
        <w:pStyle w:val="ListParagraph"/>
        <w:numPr>
          <w:ilvl w:val="0"/>
          <w:numId w:val="1"/>
        </w:numPr>
        <w:spacing w:before="0" w:after="60"/>
      </w:pPr>
      <w:r>
        <w:rPr>
          <w:rFonts w:ascii="Open Sans" w:hAnsi="Open Sans" w:eastAsia="Open Sans" w:cs="Open Sans"/>
          <w:color w:val="231F20"/>
          <w:sz w:val="20"/>
          <w:szCs w:val="20"/>
        </w:rPr>
        <w:t xml:space="preserve">Each industry partner's name, lead contact, the contact's project role, and the contact's email address.</w:t>
      </w:r>
    </w:p>
    <w:p>
      <w:pPr>
        <w:pStyle w:val="ListParagraph"/>
        <w:numPr>
          <w:ilvl w:val="0"/>
          <w:numId w:val="1"/>
        </w:numPr>
        <w:spacing w:before="0" w:after="60"/>
      </w:pPr>
      <w:r>
        <w:rPr>
          <w:rFonts w:ascii="Open Sans" w:hAnsi="Open Sans" w:eastAsia="Open Sans" w:cs="Open Sans"/>
          <w:color w:val="231F20"/>
          <w:sz w:val="20"/>
          <w:szCs w:val="20"/>
        </w:rPr>
        <w:t xml:space="preserve">Research compliance questions: whether the project involves a potential conflict of interest for any investigator, access to classified information, shipping items or technology to international entities or end users, sharing export-controlled technology with a foreign national, or potential military application. If you answer yes to any of these and the project is selected, you may be asked for more information before funds are released.</w:t>
      </w:r>
    </w:p>
    <w:p>
      <w:pPr>
        <w:pStyle w:val="ListParagraph"/>
        <w:numPr>
          <w:ilvl w:val="0"/>
          <w:numId w:val="1"/>
        </w:numPr>
        <w:spacing w:before="0" w:after="60"/>
      </w:pPr>
      <w:r>
        <w:rPr>
          <w:rFonts w:ascii="Open Sans" w:hAnsi="Open Sans" w:eastAsia="Open Sans" w:cs="Open Sans"/>
          <w:color w:val="231F20"/>
          <w:sz w:val="20"/>
          <w:szCs w:val="20"/>
        </w:rPr>
        <w:t xml:space="preserve">Financial or technology transfer interests: whether the PI or any co-PI holds such an interest in an industry partner, such as equity, a paid role, or licensed intellectual property, and if so, a description.</w:t>
      </w:r>
    </w:p>
    <w:p>
      <w:pPr>
        <w:pStyle w:val="ListParagraph"/>
        <w:numPr>
          <w:ilvl w:val="0"/>
          <w:numId w:val="1"/>
        </w:numPr>
        <w:spacing w:before="0" w:after="60"/>
      </w:pPr>
      <w:r>
        <w:rPr>
          <w:rFonts w:ascii="Open Sans" w:hAnsi="Open Sans" w:eastAsia="Open Sans" w:cs="Open Sans"/>
          <w:color w:val="231F20"/>
          <w:sz w:val="20"/>
          <w:szCs w:val="20"/>
        </w:rPr>
        <w:t xml:space="preserve">Public sharing: what JCATI may share publicly if the project is funded (the project title, the Project Snapshot, and the industry partner's name). The PI and industry partner may agree to share any, all, or none of these, and the answer does not affect review.</w:t>
      </w:r>
    </w:p>
    <w:p>
      <w:pPr>
        <w:keepNext/>
        <w:spacing w:before="160" w:after="80"/>
      </w:pPr>
      <w:r>
        <w:rPr>
          <w:rFonts w:eastAsia="Montserrat" w:cs="Montserrat" w:ascii="Montserrat" w:hAnsi="Montserrat"/>
          <w:b/>
          <w:bCs/>
          <w:color w:val="231F20"/>
          <w:sz w:val="20"/>
          <w:szCs w:val="20"/>
        </w:rPr>
        <w:t xml:space="preserve">II. Project Snapshot</w:t>
      </w:r>
    </w:p>
    <w:p>
      <w:pPr>
        <w:spacing w:before="0" w:after="120"/>
      </w:pPr>
      <w:r>
        <w:rPr>
          <w:rFonts w:ascii="Open Sans" w:hAnsi="Open Sans" w:eastAsia="Open Sans" w:cs="Open Sans"/>
          <w:color w:val="231F20"/>
          <w:sz w:val="20"/>
          <w:szCs w:val="20"/>
        </w:rPr>
        <w:t xml:space="preserve">Section II is entered in form fields on the application; only the optional images are uploaded. Write it for a general audience and leave out proprietary or confidential information.</w:t>
      </w:r>
    </w:p>
    <w:p>
      <w:pPr>
        <w:spacing w:before="0" w:after="120"/>
      </w:pPr>
      <w:r>
        <w:rPr>
          <w:rFonts w:ascii="Open Sans" w:hAnsi="Open Sans" w:eastAsia="Open Sans" w:cs="Open Sans"/>
          <w:color w:val="231F20"/>
          <w:sz w:val="20"/>
          <w:szCs w:val="20"/>
        </w:rPr>
        <w:t xml:space="preserve">The Project Snapshot is five short fields that summarize the project. Reviewers see it with your proposal. If the project is funded, JCATI uses it in reports to the Legislature and, as agreed on the Application Cover Sheet, on the JCATI website, and you update it as part of the final report.</w:t>
      </w:r>
    </w:p>
    <w:p>
      <w:pPr>
        <w:pStyle w:val="ListParagraph"/>
        <w:numPr>
          <w:ilvl w:val="0"/>
          <w:numId w:val="1"/>
        </w:numPr>
        <w:spacing w:before="0" w:after="60"/>
      </w:pPr>
      <w:r>
        <w:rPr>
          <w:rFonts w:ascii="Open Sans" w:hAnsi="Open Sans" w:eastAsia="Open Sans" w:cs="Open Sans"/>
          <w:b/>
          <w:bCs/>
          <w:color w:val="231F20"/>
          <w:sz w:val="20"/>
          <w:szCs w:val="20"/>
        </w:rPr>
        <w:t xml:space="preserve">One-sentence summary (up to 160 characters):</w:t>
      </w:r>
      <w:r>
        <w:rPr>
          <w:rFonts w:ascii="Open Sans" w:hAnsi="Open Sans" w:eastAsia="Open Sans" w:cs="Open Sans"/>
          <w:color w:val="231F20"/>
          <w:sz w:val="20"/>
          <w:szCs w:val="20"/>
        </w:rPr>
        <w:t xml:space="preserve"> the problem, what you will build or test, and why it matters to WA aerospace.</w:t>
      </w:r>
    </w:p>
    <w:p>
      <w:pPr>
        <w:pStyle w:val="ListParagraph"/>
        <w:numPr>
          <w:ilvl w:val="0"/>
          <w:numId w:val="1"/>
        </w:numPr>
        <w:spacing w:before="0" w:after="60"/>
      </w:pPr>
      <w:r>
        <w:rPr>
          <w:rFonts w:ascii="Open Sans" w:hAnsi="Open Sans" w:eastAsia="Open Sans" w:cs="Open Sans"/>
          <w:b/>
          <w:bCs/>
          <w:color w:val="231F20"/>
          <w:sz w:val="20"/>
          <w:szCs w:val="20"/>
        </w:rPr>
        <w:t xml:space="preserve">Industry pain point (up to 350 characters):</w:t>
      </w:r>
      <w:r>
        <w:rPr>
          <w:rFonts w:ascii="Open Sans" w:hAnsi="Open Sans" w:eastAsia="Open Sans" w:cs="Open Sans"/>
          <w:color w:val="231F20"/>
          <w:sz w:val="20"/>
          <w:szCs w:val="20"/>
        </w:rPr>
        <w:t xml:space="preserve"> the problem the industry partner faces today and the limits of current practice.</w:t>
      </w:r>
    </w:p>
    <w:p>
      <w:pPr>
        <w:pStyle w:val="ListParagraph"/>
        <w:numPr>
          <w:ilvl w:val="0"/>
          <w:numId w:val="1"/>
        </w:numPr>
        <w:spacing w:before="0" w:after="60"/>
      </w:pPr>
      <w:r>
        <w:rPr>
          <w:rFonts w:ascii="Open Sans" w:hAnsi="Open Sans" w:eastAsia="Open Sans" w:cs="Open Sans"/>
          <w:b/>
          <w:bCs/>
          <w:color w:val="231F20"/>
          <w:sz w:val="20"/>
          <w:szCs w:val="20"/>
        </w:rPr>
        <w:t xml:space="preserve">Proposed solution (up to 350 characters):</w:t>
      </w:r>
      <w:r>
        <w:rPr>
          <w:rFonts w:ascii="Open Sans" w:hAnsi="Open Sans" w:eastAsia="Open Sans" w:cs="Open Sans"/>
          <w:color w:val="231F20"/>
          <w:sz w:val="20"/>
          <w:szCs w:val="20"/>
        </w:rPr>
        <w:t xml:space="preserve"> what the team will develop or test in one year, and the innovation at its heart.</w:t>
      </w:r>
    </w:p>
    <w:p>
      <w:pPr>
        <w:pStyle w:val="ListParagraph"/>
        <w:numPr>
          <w:ilvl w:val="0"/>
          <w:numId w:val="1"/>
        </w:numPr>
        <w:spacing w:before="0" w:after="60"/>
      </w:pPr>
      <w:r>
        <w:rPr>
          <w:rFonts w:ascii="Open Sans" w:hAnsi="Open Sans" w:eastAsia="Open Sans" w:cs="Open Sans"/>
          <w:b/>
          <w:bCs/>
          <w:color w:val="231F20"/>
          <w:sz w:val="20"/>
          <w:szCs w:val="20"/>
        </w:rPr>
        <w:t xml:space="preserve">Industry benefit (up to 350 characters):</w:t>
      </w:r>
      <w:r>
        <w:rPr>
          <w:rFonts w:ascii="Open Sans" w:hAnsi="Open Sans" w:eastAsia="Open Sans" w:cs="Open Sans"/>
          <w:color w:val="231F20"/>
          <w:sz w:val="20"/>
          <w:szCs w:val="20"/>
        </w:rPr>
        <w:t xml:space="preserve"> what the partner gains when the technology transitions, in numbers where you can.</w:t>
      </w:r>
    </w:p>
    <w:p>
      <w:pPr>
        <w:pStyle w:val="ListParagraph"/>
        <w:numPr>
          <w:ilvl w:val="0"/>
          <w:numId w:val="1"/>
        </w:numPr>
        <w:spacing w:before="0" w:after="60"/>
      </w:pPr>
      <w:r>
        <w:rPr>
          <w:rFonts w:ascii="Open Sans" w:hAnsi="Open Sans" w:eastAsia="Open Sans" w:cs="Open Sans"/>
          <w:b/>
          <w:bCs/>
          <w:color w:val="231F20"/>
          <w:sz w:val="20"/>
          <w:szCs w:val="20"/>
        </w:rPr>
        <w:t xml:space="preserve">Transition path (up to 300 characters):</w:t>
      </w:r>
      <w:r>
        <w:rPr>
          <w:rFonts w:ascii="Open Sans" w:hAnsi="Open Sans" w:eastAsia="Open Sans" w:cs="Open Sans"/>
          <w:color w:val="231F20"/>
          <w:sz w:val="20"/>
          <w:szCs w:val="20"/>
        </w:rPr>
        <w:t xml:space="preserve"> key milestones and how the technology hands off to the partner.</w:t>
      </w:r>
    </w:p>
    <w:p>
      <w:pPr>
        <w:pStyle w:val="ListParagraph"/>
        <w:numPr>
          <w:ilvl w:val="0"/>
          <w:numId w:val="1"/>
        </w:numPr>
        <w:spacing w:before="0" w:after="60"/>
      </w:pPr>
      <w:r>
        <w:rPr>
          <w:rFonts w:ascii="Open Sans" w:hAnsi="Open Sans" w:eastAsia="Open Sans" w:cs="Open Sans"/>
          <w:b/>
          <w:bCs/>
          <w:color w:val="231F20"/>
          <w:sz w:val="20"/>
          <w:szCs w:val="20"/>
        </w:rPr>
        <w:t xml:space="preserve">Optional images:</w:t>
      </w:r>
      <w:r>
        <w:rPr>
          <w:rFonts w:ascii="Open Sans" w:hAnsi="Open Sans" w:eastAsia="Open Sans" w:cs="Open Sans"/>
          <w:color w:val="231F20"/>
          <w:sz w:val="20"/>
          <w:szCs w:val="20"/>
        </w:rPr>
        <w:t xml:space="preserve"> up to three non-confidential images.</w:t>
      </w:r>
    </w:p>
    <w:p>
      <w:pPr>
        <w:keepNext/>
        <w:spacing w:before="160" w:after="80"/>
      </w:pPr>
      <w:r>
        <w:rPr>
          <w:rFonts w:eastAsia="Montserrat" w:cs="Montserrat" w:ascii="Montserrat" w:hAnsi="Montserrat"/>
          <w:b/>
          <w:bCs/>
          <w:color w:val="231F20"/>
          <w:sz w:val="20"/>
          <w:szCs w:val="20"/>
        </w:rPr>
        <w:t xml:space="preserve">III. Narrative (Sections A–C)</w:t>
      </w:r>
    </w:p>
    <w:p>
      <w:pPr>
        <w:spacing w:before="0" w:after="120"/>
      </w:pPr>
      <w:r>
        <w:rPr>
          <w:rFonts w:ascii="Open Sans" w:hAnsi="Open Sans" w:eastAsia="Open Sans" w:cs="Open Sans"/>
          <w:color w:val="231F20"/>
          <w:sz w:val="20"/>
          <w:szCs w:val="20"/>
        </w:rPr>
        <w:t xml:space="preserve">Give reviewers enough technical information to judge the project's scientific merit and its benefit to the WA aerospace industry without any other document. Every section is entered in a form field with the character limit shown (spaces included), about five single-spaced pages in total. A Word drafting template that covers every section of the proposal, including each form field and character limit, is posted on the JCATI funding page under Forms and Downloads; we recommend drafting there and pasting your text into the form. You may also upload up to two non-confidential figures for Section A, each with a short caption, and one project timeline for Section B.2. List references separately in Section IV.</w:t>
      </w:r>
    </w:p>
    <w:p>
      <w:pPr>
        <w:pStyle w:val="ListParagraph"/>
        <w:numPr>
          <w:ilvl w:val="0"/>
          <w:numId w:val="1"/>
        </w:numPr>
        <w:spacing w:before="0" w:after="60"/>
      </w:pPr>
      <w:r>
        <w:rPr>
          <w:rFonts w:ascii="Open Sans" w:hAnsi="Open Sans" w:eastAsia="Open Sans" w:cs="Open Sans"/>
          <w:b/>
          <w:bCs/>
          <w:color w:val="231F20"/>
          <w:sz w:val="20"/>
          <w:szCs w:val="20"/>
        </w:rPr>
        <w:t xml:space="preserve">A.1 Technical Background and Approach (up to 4,500 characters):</w:t>
      </w:r>
      <w:r>
        <w:rPr>
          <w:rFonts w:ascii="Open Sans" w:hAnsi="Open Sans" w:eastAsia="Open Sans" w:cs="Open Sans"/>
          <w:color w:val="231F20"/>
          <w:sz w:val="20"/>
          <w:szCs w:val="20"/>
        </w:rPr>
        <w:t xml:space="preserve"> present your industry partner's technology pain point and how your expertise addresses it. Explain how the solution affects the partner's production processes or market. Explain why the starting TRL entered on the cover sheet (TRL 3 or higher) fits, and show how the project will advance the technology one TRL level by the end of the project year. For a continuation of an earlier JCATI project, explain why more funding is needed.</w:t>
      </w:r>
    </w:p>
    <w:p>
      <w:pPr>
        <w:pStyle w:val="ListParagraph"/>
        <w:numPr>
          <w:ilvl w:val="0"/>
          <w:numId w:val="1"/>
        </w:numPr>
        <w:spacing w:before="0" w:after="60"/>
      </w:pPr>
      <w:r>
        <w:rPr>
          <w:rFonts w:ascii="Open Sans" w:hAnsi="Open Sans" w:eastAsia="Open Sans" w:cs="Open Sans"/>
          <w:b/>
          <w:bCs/>
          <w:color w:val="231F20"/>
          <w:sz w:val="20"/>
          <w:szCs w:val="20"/>
        </w:rPr>
        <w:t xml:space="preserve">A.2 Objectives, Outcomes, Deliverables (up to 2,500 characters):</w:t>
      </w:r>
      <w:r>
        <w:rPr>
          <w:rFonts w:ascii="Open Sans" w:hAnsi="Open Sans" w:eastAsia="Open Sans" w:cs="Open Sans"/>
          <w:color w:val="231F20"/>
          <w:sz w:val="20"/>
          <w:szCs w:val="20"/>
        </w:rPr>
        <w:t xml:space="preserve"> list the specific technical objectives and deliverables that address the pain point, and show how you will complete them within the one-year funding period.</w:t>
      </w:r>
    </w:p>
    <w:p>
      <w:pPr>
        <w:pStyle w:val="ListParagraph"/>
        <w:numPr>
          <w:ilvl w:val="0"/>
          <w:numId w:val="1"/>
        </w:numPr>
        <w:spacing w:before="0" w:after="60"/>
      </w:pPr>
      <w:r>
        <w:rPr>
          <w:rFonts w:ascii="Open Sans" w:hAnsi="Open Sans" w:eastAsia="Open Sans" w:cs="Open Sans"/>
          <w:b/>
          <w:bCs/>
          <w:color w:val="231F20"/>
          <w:sz w:val="20"/>
          <w:szCs w:val="20"/>
        </w:rPr>
        <w:t xml:space="preserve">B.1 Partners, Roles and Support (up to 2,500 characters):</w:t>
      </w:r>
      <w:r>
        <w:rPr>
          <w:rFonts w:ascii="Open Sans" w:hAnsi="Open Sans" w:eastAsia="Open Sans" w:cs="Open Sans"/>
          <w:color w:val="231F20"/>
          <w:sz w:val="20"/>
          <w:szCs w:val="20"/>
        </w:rPr>
        <w:t xml:space="preserve"> describe what the academic and industry partners will each contribute to the project and to a successful transition, including how each partner's planned support, described in its letter of support (Section V), serves the project. Do not enter a PI- or institution-generated dollar value; any value is stated by the industry partner in its letter. State where the project work will take place, and explain any work planned outside WA and why it cannot be done in WA.</w:t>
      </w:r>
    </w:p>
    <w:p>
      <w:pPr>
        <w:pStyle w:val="ListParagraph"/>
        <w:numPr>
          <w:ilvl w:val="0"/>
          <w:numId w:val="1"/>
        </w:numPr>
        <w:spacing w:before="0" w:after="60"/>
      </w:pPr>
      <w:r>
        <w:rPr>
          <w:rFonts w:ascii="Open Sans" w:hAnsi="Open Sans" w:eastAsia="Open Sans" w:cs="Open Sans"/>
          <w:b/>
          <w:bCs/>
          <w:color w:val="231F20"/>
          <w:sz w:val="20"/>
          <w:szCs w:val="20"/>
        </w:rPr>
        <w:t xml:space="preserve">B.2 Technology Transition Plan (up to 2,500 characters):</w:t>
      </w:r>
      <w:r>
        <w:rPr>
          <w:rFonts w:ascii="Open Sans" w:hAnsi="Open Sans" w:eastAsia="Open Sans" w:cs="Open Sans"/>
          <w:color w:val="231F20"/>
          <w:sz w:val="20"/>
          <w:szCs w:val="20"/>
        </w:rPr>
        <w:t xml:space="preserve"> describe the project milestones, the academic partner's exit, and the hand-off of the technology to the industry partner. Explain how the deliverables in A.2 will move from the lab to the industry partner within one year after JCATI funding ends, ideally much sooner. You may also upload a one-page project timeline, such as a Gantt chart, showing the milestones across the project year.</w:t>
      </w:r>
    </w:p>
    <w:p>
      <w:pPr>
        <w:pStyle w:val="ListParagraph"/>
        <w:numPr>
          <w:ilvl w:val="0"/>
          <w:numId w:val="1"/>
        </w:numPr>
        <w:spacing w:before="0" w:after="60"/>
      </w:pPr>
      <w:r>
        <w:rPr>
          <w:rFonts w:ascii="Open Sans" w:hAnsi="Open Sans" w:eastAsia="Open Sans" w:cs="Open Sans"/>
          <w:b/>
          <w:bCs/>
          <w:color w:val="231F20"/>
          <w:sz w:val="20"/>
          <w:szCs w:val="20"/>
        </w:rPr>
        <w:t xml:space="preserve">C.1 Business Opportunities and Job Benefits (up to 1,500 characters):</w:t>
      </w:r>
      <w:r>
        <w:rPr>
          <w:rFonts w:ascii="Open Sans" w:hAnsi="Open Sans" w:eastAsia="Open Sans" w:cs="Open Sans"/>
          <w:color w:val="231F20"/>
          <w:sz w:val="20"/>
          <w:szCs w:val="20"/>
        </w:rPr>
        <w:t xml:space="preserve"> describe the project's economic effect on your industry partner, with measurable job creation or fiscal benefits where you have them. Note any near-term WA business opportunity the technology opens or improves.</w:t>
      </w:r>
    </w:p>
    <w:p>
      <w:pPr>
        <w:pStyle w:val="ListParagraph"/>
        <w:numPr>
          <w:ilvl w:val="0"/>
          <w:numId w:val="1"/>
        </w:numPr>
        <w:spacing w:before="0" w:after="60"/>
      </w:pPr>
      <w:r>
        <w:rPr>
          <w:rFonts w:ascii="Open Sans" w:hAnsi="Open Sans" w:eastAsia="Open Sans" w:cs="Open Sans"/>
          <w:b/>
          <w:bCs/>
          <w:color w:val="231F20"/>
          <w:sz w:val="20"/>
          <w:szCs w:val="20"/>
        </w:rPr>
        <w:t xml:space="preserve">C.2 Educational, Internship and Job Opportunities (up to 1,500 characters):</w:t>
      </w:r>
      <w:r>
        <w:rPr>
          <w:rFonts w:ascii="Open Sans" w:hAnsi="Open Sans" w:eastAsia="Open Sans" w:cs="Open Sans"/>
          <w:color w:val="231F20"/>
          <w:sz w:val="20"/>
          <w:szCs w:val="20"/>
        </w:rPr>
        <w:t xml:space="preserve"> describe how WA engineering students benefit directly from taking part, for example through internships, job opportunities, mentoring, professional skills, networking, or outreach.</w:t>
      </w:r>
    </w:p>
    <w:p>
      <w:pPr>
        <w:pStyle w:val="ListParagraph"/>
        <w:numPr>
          <w:ilvl w:val="0"/>
          <w:numId w:val="1"/>
        </w:numPr>
        <w:spacing w:before="0" w:after="60"/>
      </w:pPr>
      <w:r>
        <w:rPr>
          <w:rFonts w:ascii="Open Sans" w:hAnsi="Open Sans" w:eastAsia="Open Sans" w:cs="Open Sans"/>
          <w:b/>
          <w:bCs/>
          <w:color w:val="231F20"/>
          <w:sz w:val="20"/>
          <w:szCs w:val="20"/>
        </w:rPr>
        <w:t xml:space="preserve">Optional Section D, Undergraduate Scholars Program ($5,000 maximum; up to 2,000 characters):</w:t>
      </w:r>
      <w:r>
        <w:rPr>
          <w:rFonts w:ascii="Open Sans" w:hAnsi="Open Sans" w:eastAsia="Open Sans" w:cs="Open Sans"/>
          <w:color w:val="231F20"/>
          <w:sz w:val="20"/>
          <w:szCs w:val="20"/>
        </w:rPr>
        <w:t xml:space="preserve"> describe (1) how USP students will be recruited and selected; (2) each student's task and deliverable; (3) the student's mentor; and (4) the period of work. Budget USP costs in Category 7; “What JCATI Awards Cover” in Award Information lists allowable uses.</w:t>
      </w:r>
    </w:p>
    <w:p>
      <w:pPr>
        <w:keepNext/>
        <w:spacing w:before="160" w:after="80"/>
      </w:pPr>
      <w:r>
        <w:rPr>
          <w:rFonts w:eastAsia="Montserrat" w:cs="Montserrat" w:ascii="Montserrat" w:hAnsi="Montserrat"/>
          <w:b/>
          <w:bCs/>
          <w:color w:val="231F20"/>
          <w:sz w:val="20"/>
          <w:szCs w:val="20"/>
        </w:rPr>
        <w:t xml:space="preserve">IV. References and Optional Suggested Reviewers</w:t>
      </w:r>
    </w:p>
    <w:p>
      <w:pPr>
        <w:spacing w:before="0" w:after="120"/>
      </w:pPr>
      <w:r>
        <w:rPr>
          <w:rFonts w:ascii="Open Sans" w:hAnsi="Open Sans" w:eastAsia="Open Sans" w:cs="Open Sans"/>
          <w:color w:val="231F20"/>
          <w:sz w:val="20"/>
          <w:szCs w:val="20"/>
        </w:rPr>
        <w:t xml:space="preserve">Upload a list of all references cited in Sections A–C. You may also upload a list of suggested reviewers in the format of NSF's optional List of Suggested Reviewers, giving each reviewer's name, affiliation, and email. Confirm first that each is willing to serve and has no conflict of interest.</w:t>
      </w:r>
    </w:p>
    <w:p>
      <w:pPr>
        <w:keepNext/>
        <w:spacing w:before="160" w:after="80"/>
      </w:pPr>
      <w:r>
        <w:rPr>
          <w:rFonts w:eastAsia="Montserrat" w:cs="Montserrat" w:ascii="Montserrat" w:hAnsi="Montserrat"/>
          <w:b/>
          <w:bCs/>
          <w:color w:val="231F20"/>
          <w:sz w:val="20"/>
          <w:szCs w:val="20"/>
        </w:rPr>
        <w:t xml:space="preserve">V. Industry Letters of Support</w:t>
      </w:r>
    </w:p>
    <w:p>
      <w:pPr>
        <w:spacing w:before="0" w:after="120"/>
      </w:pPr>
      <w:r>
        <w:rPr>
          <w:rFonts w:ascii="Open Sans" w:hAnsi="Open Sans" w:eastAsia="Open Sans" w:cs="Open Sans"/>
          <w:color w:val="231F20"/>
          <w:sz w:val="20"/>
          <w:szCs w:val="20"/>
        </w:rPr>
        <w:t xml:space="preserve">Each industry partner provides a signed letter of support on the JCATI letter of support template, which is in the Industry Partner Packet on the JCATI funding page under Forms and Downloads. The letter includes:</w:t>
      </w:r>
    </w:p>
    <w:p>
      <w:pPr>
        <w:pStyle w:val="ListParagraph"/>
        <w:numPr>
          <w:ilvl w:val="0"/>
          <w:numId w:val="1"/>
        </w:numPr>
        <w:spacing w:before="0" w:after="60"/>
      </w:pPr>
      <w:r>
        <w:rPr>
          <w:rFonts w:ascii="Open Sans" w:hAnsi="Open Sans" w:eastAsia="Open Sans" w:cs="Open Sans"/>
          <w:color w:val="231F20"/>
          <w:sz w:val="20"/>
          <w:szCs w:val="20"/>
        </w:rPr>
        <w:t xml:space="preserve">The name of the industry contact and their role in the project.</w:t>
      </w:r>
    </w:p>
    <w:p>
      <w:pPr>
        <w:pStyle w:val="ListParagraph"/>
        <w:numPr>
          <w:ilvl w:val="0"/>
          <w:numId w:val="1"/>
        </w:numPr>
        <w:spacing w:before="0" w:after="60"/>
      </w:pPr>
      <w:r>
        <w:rPr>
          <w:rFonts w:ascii="Open Sans" w:hAnsi="Open Sans" w:eastAsia="Open Sans" w:cs="Open Sans"/>
          <w:color w:val="231F20"/>
          <w:sz w:val="20"/>
          <w:szCs w:val="20"/>
        </w:rPr>
        <w:t xml:space="preserve">The type of support the partner plans to provide and the partner's own estimate of its cash-equivalent value (see “Industry Partner Contributions” above).</w:t>
      </w:r>
    </w:p>
    <w:p>
      <w:pPr>
        <w:pStyle w:val="ListParagraph"/>
        <w:numPr>
          <w:ilvl w:val="0"/>
          <w:numId w:val="1"/>
        </w:numPr>
        <w:spacing w:before="0" w:after="60"/>
      </w:pPr>
      <w:r>
        <w:rPr>
          <w:rFonts w:ascii="Open Sans" w:hAnsi="Open Sans" w:eastAsia="Open Sans" w:cs="Open Sans"/>
          <w:color w:val="231F20"/>
          <w:sz w:val="20"/>
          <w:szCs w:val="20"/>
        </w:rPr>
        <w:t xml:space="preserve">The partner's commitment to take the resulting technology into its products or operations. The transition plan itself is described in Narrative Section B.2.</w:t>
      </w:r>
    </w:p>
    <w:p>
      <w:pPr>
        <w:pStyle w:val="ListParagraph"/>
        <w:numPr>
          <w:ilvl w:val="0"/>
          <w:numId w:val="1"/>
        </w:numPr>
        <w:spacing w:before="0" w:after="60"/>
      </w:pPr>
      <w:r>
        <w:rPr>
          <w:rFonts w:ascii="Open Sans" w:hAnsi="Open Sans" w:eastAsia="Open Sans" w:cs="Open Sans"/>
          <w:color w:val="231F20"/>
          <w:sz w:val="20"/>
          <w:szCs w:val="20"/>
        </w:rPr>
        <w:t xml:space="preserve">Any milestones or decision points for delivering the support, if applicable.</w:t>
      </w:r>
    </w:p>
    <w:p>
      <w:pPr>
        <w:spacing w:before="0" w:after="120"/>
      </w:pPr>
      <w:r>
        <w:rPr>
          <w:rFonts w:ascii="Open Sans" w:hAnsi="Open Sans" w:eastAsia="Open Sans" w:cs="Open Sans"/>
          <w:color w:val="231F20"/>
          <w:sz w:val="20"/>
          <w:szCs w:val="20"/>
        </w:rPr>
        <w:t xml:space="preserve">Applications missing a signed letter from any industry partner will not be considered for funding. At project end, each industry partner provides a closing letter stating the support it delivered, its estimated value, and how the technology transitioned to the company.</w:t>
      </w:r>
    </w:p>
    <w:p>
      <w:pPr>
        <w:keepNext/>
        <w:spacing w:before="160" w:after="80"/>
      </w:pPr>
      <w:r>
        <w:rPr>
          <w:rFonts w:eastAsia="Montserrat" w:cs="Montserrat" w:ascii="Montserrat" w:hAnsi="Montserrat"/>
          <w:b/>
          <w:bCs/>
          <w:color w:val="231F20"/>
          <w:sz w:val="20"/>
          <w:szCs w:val="20"/>
        </w:rPr>
        <w:t xml:space="preserve">VI. Biosketches (PI and Each Co-PI)</w:t>
      </w:r>
    </w:p>
    <w:p>
      <w:pPr>
        <w:spacing w:before="0" w:after="120"/>
      </w:pPr>
      <w:r>
        <w:rPr>
          <w:rFonts w:ascii="Open Sans" w:hAnsi="Open Sans" w:eastAsia="Open Sans" w:cs="Open Sans"/>
          <w:color w:val="231F20"/>
          <w:sz w:val="20"/>
          <w:szCs w:val="20"/>
        </w:rPr>
        <w:t xml:space="preserve">Upload a biographical sketch for the PI and each co-PI in the NSF format. SciENcv is preferred but not required: an existing NSF biographical sketch may be used as is, or you may use the NSF-format biosketch template on the JCATI funding page under Forms and Downloads.</w:t>
      </w:r>
    </w:p>
    <w:p>
      <w:pPr>
        <w:keepNext/>
        <w:spacing w:before="160" w:after="80"/>
      </w:pPr>
      <w:r>
        <w:rPr>
          <w:rFonts w:eastAsia="Montserrat" w:cs="Montserrat" w:ascii="Montserrat" w:hAnsi="Montserrat"/>
          <w:b/>
          <w:bCs/>
          <w:color w:val="231F20"/>
          <w:sz w:val="20"/>
          <w:szCs w:val="20"/>
        </w:rPr>
        <w:t xml:space="preserve">VII. Budget and Budget Justification</w:t>
      </w:r>
    </w:p>
    <w:p>
      <w:pPr>
        <w:spacing w:before="0" w:after="120"/>
      </w:pPr>
      <w:r>
        <w:rPr>
          <w:rFonts w:ascii="Open Sans" w:hAnsi="Open Sans" w:eastAsia="Open Sans" w:cs="Open Sans"/>
          <w:color w:val="231F20"/>
          <w:sz w:val="20"/>
          <w:szCs w:val="20"/>
        </w:rPr>
        <w:t xml:space="preserve">For each of the seven numbered categories below, enter the total and a short justification (a few sentences describing the charges) in the budget fields on the application form. There is no separate budget justification to upload; only quotes for equipment over $5,000 are uploaded. The maximum request is $115,000, plus an optional $5,000 in USP funds.</w:t>
      </w:r>
    </w:p>
    <w:p>
      <w:pPr>
        <w:pStyle w:val="ListParagraph"/>
        <w:numPr>
          <w:ilvl w:val="0"/>
          <w:numId w:val="1"/>
        </w:numPr>
        <w:spacing w:before="0" w:after="60"/>
      </w:pPr>
      <w:r>
        <w:rPr>
          <w:rFonts w:ascii="Open Sans" w:hAnsi="Open Sans" w:eastAsia="Open Sans" w:cs="Open Sans"/>
          <w:b/>
          <w:bCs/>
          <w:color w:val="231F20"/>
          <w:sz w:val="20"/>
          <w:szCs w:val="20"/>
        </w:rPr>
        <w:t xml:space="preserve">1. Senior Personnel:</w:t>
      </w:r>
      <w:r>
        <w:rPr>
          <w:rFonts w:ascii="Open Sans" w:hAnsi="Open Sans" w:eastAsia="Open Sans" w:cs="Open Sans"/>
          <w:color w:val="231F20"/>
          <w:sz w:val="20"/>
          <w:szCs w:val="20"/>
        </w:rPr>
        <w:t xml:space="preserve"> investigator salary, within the limits in “What JCATI Awards Cover” in Award Information. Do not list unfunded effort.</w:t>
      </w:r>
    </w:p>
    <w:p>
      <w:pPr>
        <w:pStyle w:val="ListParagraph"/>
        <w:numPr>
          <w:ilvl w:val="0"/>
          <w:numId w:val="1"/>
        </w:numPr>
        <w:spacing w:before="0" w:after="60"/>
      </w:pPr>
      <w:r>
        <w:rPr>
          <w:rFonts w:ascii="Open Sans" w:hAnsi="Open Sans" w:eastAsia="Open Sans" w:cs="Open Sans"/>
          <w:b/>
          <w:bCs/>
          <w:color w:val="231F20"/>
          <w:sz w:val="20"/>
          <w:szCs w:val="20"/>
        </w:rPr>
        <w:t xml:space="preserve">2. Other Personnel:</w:t>
      </w:r>
      <w:r>
        <w:rPr>
          <w:rFonts w:ascii="Open Sans" w:hAnsi="Open Sans" w:eastAsia="Open Sans" w:cs="Open Sans"/>
          <w:color w:val="231F20"/>
          <w:sz w:val="20"/>
          <w:szCs w:val="20"/>
        </w:rPr>
        <w:t xml:space="preserve"> students, postdocs, and other project staff. Budget tuition only where no waiver applies; see “What JCATI Awards Cover” in Award Information for tuition waiver guidance by institution.</w:t>
      </w:r>
    </w:p>
    <w:p>
      <w:pPr>
        <w:pStyle w:val="ListParagraph"/>
        <w:numPr>
          <w:ilvl w:val="0"/>
          <w:numId w:val="1"/>
        </w:numPr>
        <w:spacing w:before="0" w:after="60"/>
      </w:pPr>
      <w:r>
        <w:rPr>
          <w:rFonts w:ascii="Open Sans" w:hAnsi="Open Sans" w:eastAsia="Open Sans" w:cs="Open Sans"/>
          <w:b/>
          <w:bCs/>
          <w:color w:val="231F20"/>
          <w:sz w:val="20"/>
          <w:szCs w:val="20"/>
        </w:rPr>
        <w:t xml:space="preserve">3. Fringe Benefits:</w:t>
      </w:r>
      <w:r>
        <w:rPr>
          <w:rFonts w:ascii="Open Sans" w:hAnsi="Open Sans" w:eastAsia="Open Sans" w:cs="Open Sans"/>
          <w:color w:val="231F20"/>
          <w:sz w:val="20"/>
          <w:szCs w:val="20"/>
        </w:rPr>
        <w:t xml:space="preserve"> use the appropriate benefits load rates for project personnel. Fringe on USP-funded wages goes in Category 7.</w:t>
      </w:r>
    </w:p>
    <w:p>
      <w:pPr>
        <w:pStyle w:val="ListParagraph"/>
        <w:numPr>
          <w:ilvl w:val="0"/>
          <w:numId w:val="1"/>
        </w:numPr>
        <w:spacing w:before="0" w:after="60"/>
      </w:pPr>
      <w:r>
        <w:rPr>
          <w:rFonts w:ascii="Open Sans" w:hAnsi="Open Sans" w:eastAsia="Open Sans" w:cs="Open Sans"/>
          <w:b/>
          <w:bCs/>
          <w:color w:val="231F20"/>
          <w:sz w:val="20"/>
          <w:szCs w:val="20"/>
        </w:rPr>
        <w:t xml:space="preserve">4. Equipment:</w:t>
      </w:r>
      <w:r>
        <w:rPr>
          <w:rFonts w:ascii="Open Sans" w:hAnsi="Open Sans" w:eastAsia="Open Sans" w:cs="Open Sans"/>
          <w:color w:val="231F20"/>
          <w:sz w:val="20"/>
          <w:szCs w:val="20"/>
        </w:rPr>
        <w:t xml:space="preserve"> upload a quote for any item over $5,000, and explain in the equipment justification why it is needed.</w:t>
      </w:r>
    </w:p>
    <w:p>
      <w:pPr>
        <w:pStyle w:val="ListParagraph"/>
        <w:numPr>
          <w:ilvl w:val="0"/>
          <w:numId w:val="1"/>
        </w:numPr>
        <w:spacing w:before="0" w:after="60"/>
      </w:pPr>
      <w:r>
        <w:rPr>
          <w:rFonts w:ascii="Open Sans" w:hAnsi="Open Sans" w:eastAsia="Open Sans" w:cs="Open Sans"/>
          <w:b/>
          <w:bCs/>
          <w:color w:val="231F20"/>
          <w:sz w:val="20"/>
          <w:szCs w:val="20"/>
        </w:rPr>
        <w:t xml:space="preserve">5. Travel:</w:t>
      </w:r>
      <w:r>
        <w:rPr>
          <w:rFonts w:ascii="Open Sans" w:hAnsi="Open Sans" w:eastAsia="Open Sans" w:cs="Open Sans"/>
          <w:color w:val="231F20"/>
          <w:sz w:val="20"/>
          <w:szCs w:val="20"/>
        </w:rPr>
        <w:t xml:space="preserve"> US travel only. Travel funds are meant for travel to industry partner facilities (meetings, onsite testing, etc.). Include $750 for the PI's own travel and lodging for the spring 2028 JCATI symposium at Western Washington University. JCATI pays student symposium travel and lodging.</w:t>
      </w:r>
    </w:p>
    <w:p>
      <w:pPr>
        <w:pStyle w:val="ListParagraph"/>
        <w:numPr>
          <w:ilvl w:val="0"/>
          <w:numId w:val="1"/>
        </w:numPr>
        <w:spacing w:before="0" w:after="60"/>
      </w:pPr>
      <w:r>
        <w:rPr>
          <w:rFonts w:ascii="Open Sans" w:hAnsi="Open Sans" w:eastAsia="Open Sans" w:cs="Open Sans"/>
          <w:b/>
          <w:bCs/>
          <w:color w:val="231F20"/>
          <w:sz w:val="20"/>
          <w:szCs w:val="20"/>
        </w:rPr>
        <w:t xml:space="preserve">6. Other Direct Costs:</w:t>
      </w:r>
      <w:r>
        <w:rPr>
          <w:rFonts w:ascii="Open Sans" w:hAnsi="Open Sans" w:eastAsia="Open Sans" w:cs="Open Sans"/>
          <w:color w:val="231F20"/>
          <w:sz w:val="20"/>
          <w:szCs w:val="20"/>
        </w:rPr>
        <w:t xml:space="preserve"> materials, supplies, fabrication, and other project services.</w:t>
      </w:r>
    </w:p>
    <w:p>
      <w:pPr>
        <w:pStyle w:val="ListParagraph"/>
        <w:numPr>
          <w:ilvl w:val="0"/>
          <w:numId w:val="1"/>
        </w:numPr>
        <w:spacing w:before="0" w:after="60"/>
      </w:pPr>
      <w:r>
        <w:rPr>
          <w:rFonts w:ascii="Open Sans" w:hAnsi="Open Sans" w:eastAsia="Open Sans" w:cs="Open Sans"/>
          <w:b/>
          <w:bCs/>
          <w:color w:val="231F20"/>
          <w:sz w:val="20"/>
          <w:szCs w:val="20"/>
        </w:rPr>
        <w:t xml:space="preserve">7. Undergraduate Scholars Program (USP) Funds (optional):</w:t>
      </w:r>
      <w:r>
        <w:rPr>
          <w:rFonts w:ascii="Open Sans" w:hAnsi="Open Sans" w:eastAsia="Open Sans" w:cs="Open Sans"/>
          <w:color w:val="231F20"/>
          <w:sz w:val="20"/>
          <w:szCs w:val="20"/>
        </w:rPr>
        <w:t xml:space="preserve"> up to $5,000 if Section D is completed.</w:t>
      </w:r>
    </w:p>
    <w:p>
      <w:pPr>
        <w:spacing w:before="0" w:after="120"/>
      </w:pPr>
      <w:r>
        <w:rPr>
          <w:rFonts w:ascii="Open Sans" w:hAnsi="Open Sans" w:eastAsia="Open Sans" w:cs="Open Sans"/>
          <w:color w:val="231F20"/>
          <w:sz w:val="20"/>
          <w:szCs w:val="20"/>
        </w:rPr>
        <w:t xml:space="preserve">These rules apply to every budget:</w:t>
      </w:r>
    </w:p>
    <w:p>
      <w:pPr>
        <w:pStyle w:val="ListParagraph"/>
        <w:numPr>
          <w:ilvl w:val="0"/>
          <w:numId w:val="1"/>
        </w:numPr>
        <w:spacing w:before="0" w:after="60"/>
      </w:pPr>
      <w:r>
        <w:rPr>
          <w:rFonts w:ascii="Open Sans" w:hAnsi="Open Sans" w:eastAsia="Open Sans" w:cs="Open Sans"/>
          <w:b/>
          <w:bCs/>
          <w:color w:val="231F20"/>
          <w:sz w:val="20"/>
          <w:szCs w:val="20"/>
        </w:rPr>
        <w:t xml:space="preserve">No F&amp;A.</w:t>
      </w:r>
      <w:r>
        <w:rPr>
          <w:rFonts w:ascii="Open Sans" w:hAnsi="Open Sans" w:eastAsia="Open Sans" w:cs="Open Sans"/>
          <w:color w:val="231F20"/>
          <w:sz w:val="20"/>
          <w:szCs w:val="20"/>
        </w:rPr>
        <w:t xml:space="preserve"> No overhead, fees, or recharge may be assessed on the award itself. Shared-facility and recharge-center service fees the project uses go in Category 6 (see “What JCATI Awards Cover”).</w:t>
      </w:r>
    </w:p>
    <w:p>
      <w:pPr>
        <w:pStyle w:val="ListParagraph"/>
        <w:numPr>
          <w:ilvl w:val="0"/>
          <w:numId w:val="1"/>
        </w:numPr>
        <w:spacing w:before="0" w:after="60"/>
      </w:pPr>
      <w:r>
        <w:rPr>
          <w:rFonts w:ascii="Open Sans" w:hAnsi="Open Sans" w:eastAsia="Open Sans" w:cs="Open Sans"/>
          <w:b/>
          <w:bCs/>
          <w:color w:val="231F20"/>
          <w:sz w:val="20"/>
          <w:szCs w:val="20"/>
        </w:rPr>
        <w:t xml:space="preserve">One PI and one budget number/worktag per project.</w:t>
      </w:r>
      <w:r>
        <w:rPr>
          <w:rFonts w:ascii="Open Sans" w:hAnsi="Open Sans" w:eastAsia="Open Sans" w:cs="Open Sans"/>
          <w:color w:val="231F20"/>
          <w:sz w:val="20"/>
          <w:szCs w:val="20"/>
        </w:rPr>
        <w:t xml:space="preserve"> Student and postdoc FTE cannot be split between JCATI-funded projects.</w:t>
      </w:r>
    </w:p>
    <w:p>
      <w:pPr>
        <w:pStyle w:val="ListParagraph"/>
        <w:numPr>
          <w:ilvl w:val="0"/>
          <w:numId w:val="1"/>
        </w:numPr>
        <w:spacing w:before="0" w:after="60"/>
      </w:pPr>
      <w:r>
        <w:rPr>
          <w:rFonts w:ascii="Open Sans" w:hAnsi="Open Sans" w:eastAsia="Open Sans" w:cs="Open Sans"/>
          <w:b/>
          <w:bCs/>
          <w:color w:val="231F20"/>
          <w:sz w:val="20"/>
          <w:szCs w:val="20"/>
        </w:rPr>
        <w:t xml:space="preserve">No carry forward.</w:t>
      </w:r>
      <w:r>
        <w:rPr>
          <w:rFonts w:ascii="Open Sans" w:hAnsi="Open Sans" w:eastAsia="Open Sans" w:cs="Open Sans"/>
          <w:color w:val="231F20"/>
          <w:sz w:val="20"/>
          <w:szCs w:val="20"/>
        </w:rPr>
        <w:t xml:space="preserve"> Budget deficits must be resolved by the end of the project period.</w:t>
      </w:r>
    </w:p>
    <w:p>
      <w:pPr>
        <w:pStyle w:val="ListParagraph"/>
        <w:numPr>
          <w:ilvl w:val="0"/>
          <w:numId w:val="1"/>
        </w:numPr>
        <w:spacing w:before="0" w:after="60"/>
      </w:pPr>
      <w:r>
        <w:rPr>
          <w:rFonts w:ascii="Open Sans" w:hAnsi="Open Sans" w:eastAsia="Open Sans" w:cs="Open Sans"/>
          <w:color w:val="231F20"/>
          <w:sz w:val="20"/>
          <w:szCs w:val="20"/>
        </w:rPr>
        <w:t xml:space="preserve">All expenditures follow the fiscal policies of the recipient institution, and all purchasing follows institutional procurement rules. JCATI funds cannot be used for foreign transactions.</w:t>
      </w:r>
    </w:p>
    <w:p>
      <w:pPr>
        <w:spacing w:before="0" w:after="120"/>
      </w:pPr>
      <w:r>
        <w:rPr>
          <w:rFonts w:ascii="Open Sans" w:hAnsi="Open Sans" w:eastAsia="Open Sans" w:cs="Open Sans"/>
          <w:color w:val="231F20"/>
          <w:sz w:val="20"/>
          <w:szCs w:val="20"/>
        </w:rPr>
        <w:t xml:space="preserve">Upload one signed Department Chair certification (electronic signatures acceptable), using the form on the JCATI funding page under Forms and Downloads. It is signed by the PI, the chair of the department holding the budget (or the head of the unit holding it), and departmental grants staff, and is the only institutional certification JCATI requires. By signing, they confirm that:</w:t>
      </w:r>
    </w:p>
    <w:p>
      <w:pPr>
        <w:pStyle w:val="ListParagraph"/>
        <w:numPr>
          <w:ilvl w:val="0"/>
          <w:numId w:val="1"/>
        </w:numPr>
        <w:spacing w:before="0" w:after="60"/>
      </w:pPr>
      <w:r>
        <w:rPr>
          <w:rFonts w:ascii="Open Sans" w:hAnsi="Open Sans" w:eastAsia="Open Sans" w:cs="Open Sans"/>
          <w:color w:val="231F20"/>
          <w:sz w:val="20"/>
          <w:szCs w:val="20"/>
        </w:rPr>
        <w:t xml:space="preserve">The statements in the proposal are true, complete, and accurate, and the institution accepts JCATI's award terms.</w:t>
      </w:r>
    </w:p>
    <w:p>
      <w:pPr>
        <w:pStyle w:val="ListParagraph"/>
        <w:numPr>
          <w:ilvl w:val="0"/>
          <w:numId w:val="1"/>
        </w:numPr>
        <w:spacing w:before="0" w:after="60"/>
      </w:pPr>
      <w:r>
        <w:rPr>
          <w:rFonts w:ascii="Open Sans" w:hAnsi="Open Sans" w:eastAsia="Open Sans" w:cs="Open Sans"/>
          <w:color w:val="231F20"/>
          <w:sz w:val="20"/>
          <w:szCs w:val="20"/>
        </w:rPr>
        <w:t xml:space="preserve">Departmental grants staff have reviewed and approved the budget.</w:t>
      </w:r>
    </w:p>
    <w:p>
      <w:pPr>
        <w:pStyle w:val="ListParagraph"/>
        <w:numPr>
          <w:ilvl w:val="0"/>
          <w:numId w:val="1"/>
        </w:numPr>
        <w:spacing w:before="0" w:after="60"/>
      </w:pPr>
      <w:r>
        <w:rPr>
          <w:rFonts w:ascii="Open Sans" w:hAnsi="Open Sans" w:eastAsia="Open Sans" w:cs="Open Sans"/>
          <w:color w:val="231F20"/>
          <w:sz w:val="20"/>
          <w:szCs w:val="20"/>
        </w:rPr>
        <w:t xml:space="preserve">The PI and each co-PI are eligible to serve in those roles under the institution's PI eligibility policy for the award period, including any approved exception.</w:t>
      </w:r>
    </w:p>
    <w:p>
      <w:pPr>
        <w:pStyle w:val="ListParagraph"/>
        <w:numPr>
          <w:ilvl w:val="0"/>
          <w:numId w:val="1"/>
        </w:numPr>
        <w:spacing w:before="0" w:after="60"/>
      </w:pPr>
      <w:r>
        <w:rPr>
          <w:rFonts w:ascii="Open Sans" w:hAnsi="Open Sans" w:eastAsia="Open Sans" w:cs="Open Sans"/>
          <w:color w:val="231F20"/>
          <w:sz w:val="20"/>
          <w:szCs w:val="20"/>
        </w:rPr>
        <w:t xml:space="preserve">The unit will hold the budget and supervise the funded students, and award funds will primarily support engineering or engineering technology students.</w:t>
      </w:r>
    </w:p>
    <w:p>
      <w:pPr>
        <w:pStyle w:val="ListParagraph"/>
        <w:numPr>
          <w:ilvl w:val="0"/>
          <w:numId w:val="1"/>
        </w:numPr>
        <w:spacing w:before="0" w:after="60"/>
      </w:pPr>
      <w:r>
        <w:rPr>
          <w:rFonts w:ascii="Open Sans" w:hAnsi="Open Sans" w:eastAsia="Open Sans" w:cs="Open Sans"/>
          <w:color w:val="231F20"/>
          <w:sz w:val="20"/>
          <w:szCs w:val="20"/>
        </w:rPr>
        <w:t xml:space="preserve">The unit will charge no F&amp;A, overhead, fee, or recharge on the award itself.</w:t>
      </w:r>
    </w:p>
    <w:p>
      <w:pPr>
        <w:pStyle w:val="ListParagraph"/>
        <w:numPr>
          <w:ilvl w:val="0"/>
          <w:numId w:val="1"/>
        </w:numPr>
        <w:spacing w:before="0" w:after="60"/>
      </w:pPr>
      <w:r>
        <w:rPr>
          <w:rFonts w:ascii="Open Sans" w:hAnsi="Open Sans" w:eastAsia="Open Sans" w:cs="Open Sans"/>
          <w:color w:val="231F20"/>
          <w:sz w:val="20"/>
          <w:szCs w:val="20"/>
        </w:rPr>
        <w:t xml:space="preserve">Any appointments the budget requires, such as summer salary, temporary, or student hourly appointments, can be made within the institution's pay limits.</w:t>
      </w:r>
    </w:p>
    <w:p>
      <w:pPr>
        <w:pStyle w:val="ListParagraph"/>
        <w:numPr>
          <w:ilvl w:val="0"/>
          <w:numId w:val="1"/>
        </w:numPr>
        <w:spacing w:before="0" w:after="60"/>
      </w:pPr>
      <w:r>
        <w:rPr>
          <w:rFonts w:ascii="Open Sans" w:hAnsi="Open Sans" w:eastAsia="Open Sans" w:cs="Open Sans"/>
          <w:color w:val="231F20"/>
          <w:sz w:val="20"/>
          <w:szCs w:val="20"/>
        </w:rPr>
        <w:t xml:space="preserve">Any required export-control, conflict-of-interest, and IP review will be completed under institutional policy before project work begins.</w:t>
      </w:r>
    </w:p>
    <w:p>
      <w:pPr>
        <w:pStyle w:val="ListParagraph"/>
        <w:numPr>
          <w:ilvl w:val="0"/>
          <w:numId w:val="1"/>
        </w:numPr>
        <w:spacing w:before="0" w:after="60"/>
      </w:pPr>
      <w:r>
        <w:rPr>
          <w:rFonts w:ascii="Open Sans" w:hAnsi="Open Sans" w:eastAsia="Open Sans" w:cs="Open Sans"/>
          <w:color w:val="231F20"/>
          <w:sz w:val="20"/>
          <w:szCs w:val="20"/>
        </w:rPr>
        <w:t xml:space="preserve">Students on the project keep their publication and thesis rights.</w:t>
      </w:r>
    </w:p>
    <w:p>
      <w:pPr>
        <w:pStyle w:val="ListParagraph"/>
        <w:numPr>
          <w:ilvl w:val="0"/>
          <w:numId w:val="1"/>
        </w:numPr>
        <w:spacing w:before="0" w:after="60"/>
      </w:pPr>
      <w:r>
        <w:rPr>
          <w:rFonts w:ascii="Open Sans" w:hAnsi="Open Sans" w:eastAsia="Open Sans" w:cs="Open Sans"/>
          <w:color w:val="231F20"/>
          <w:sz w:val="20"/>
          <w:szCs w:val="20"/>
        </w:rPr>
        <w:t xml:space="preserve">Forgone F&amp;A will not be reported as cost share or industry in-kind.</w:t>
      </w:r>
    </w:p>
    <w:p>
      <w:pPr>
        <w:spacing w:before="0" w:after="120"/>
      </w:pPr>
      <w:r>
        <w:rPr>
          <w:rFonts w:ascii="Open Sans" w:hAnsi="Open Sans" w:eastAsia="Open Sans" w:cs="Open Sans"/>
          <w:color w:val="231F20"/>
          <w:sz w:val="20"/>
          <w:szCs w:val="20"/>
        </w:rPr>
        <w:t xml:space="preserve">The certification covers the JCATI budget and the academic team only. It does not value or certify any industry contribution.</w:t>
      </w:r>
    </w:p>
    <w:p>
      <w:pPr>
        <w:spacing w:before="0" w:after="120"/>
      </w:pPr>
      <w:r>
        <w:rPr>
          <w:rFonts w:ascii="Open Sans" w:hAnsi="Open Sans" w:eastAsia="Open Sans" w:cs="Open Sans"/>
          <w:b/>
          <w:bCs/>
          <w:color w:val="231F20"/>
          <w:sz w:val="20"/>
          <w:szCs w:val="20"/>
        </w:rPr>
        <w:t xml:space="preserve">For department chairs, unit heads, and grants staff.</w:t>
      </w:r>
      <w:r>
        <w:rPr>
          <w:rFonts w:ascii="Open Sans" w:hAnsi="Open Sans" w:eastAsia="Open Sans" w:cs="Open Sans"/>
          <w:color w:val="231F20"/>
          <w:sz w:val="20"/>
          <w:szCs w:val="20"/>
        </w:rPr>
        <w:t xml:space="preserve"> JCATI awards are Washington State funds administered without F&amp;A. By signing the certification, you confirm that the PI and co-PIs are eligible under your institution's PI policy, that your unit will hold and manage the budget without charging overhead on the award, that any appointments the budget needs can be made, and that required compliance review will be completed before work begins. PIs may forward this paragraph with the certification form to the people asked to sign. Grants offices with questions can contact the JCATI Program Manager.</w:t>
      </w:r>
    </w:p>
    <w:p>
      <w:pPr>
        <w:keepNext/>
        <w:spacing w:before="160" w:after="80"/>
      </w:pPr>
      <w:r>
        <w:rPr>
          <w:rFonts w:eastAsia="Montserrat" w:cs="Montserrat" w:ascii="Montserrat" w:hAnsi="Montserrat"/>
          <w:b/>
          <w:bCs/>
          <w:color w:val="231F20"/>
          <w:sz w:val="20"/>
          <w:szCs w:val="20"/>
        </w:rPr>
        <w:t xml:space="preserve">VIII. Intellectual Property Documentation</w:t>
      </w:r>
    </w:p>
    <w:p>
      <w:pPr>
        <w:spacing w:before="0" w:after="120"/>
      </w:pPr>
      <w:r>
        <w:rPr>
          <w:rFonts w:ascii="Open Sans" w:hAnsi="Open Sans" w:eastAsia="Open Sans" w:cs="Open Sans"/>
          <w:color w:val="231F20"/>
          <w:sz w:val="20"/>
          <w:szCs w:val="20"/>
        </w:rPr>
        <w:t xml:space="preserve">Upload the signed acknowledgment page of the FY2028 IP Terms (see “Management and Ownership of Intellectual Property” above). Applications missing it will not be considered for funding.</w:t>
      </w:r>
    </w:p>
    <w:p>
      <w:pPr>
        <w:keepNext/>
        <w:spacing w:before="160" w:after="80"/>
      </w:pPr>
      <w:r>
        <w:rPr>
          <w:rFonts w:eastAsia="Montserrat" w:cs="Montserrat" w:ascii="Montserrat" w:hAnsi="Montserrat"/>
          <w:b/>
          <w:bCs/>
          <w:color w:val="231F20"/>
          <w:sz w:val="20"/>
          <w:szCs w:val="20"/>
        </w:rPr>
        <w:t xml:space="preserve">IX. Industry Partner Attestation Form</w:t>
      </w:r>
    </w:p>
    <w:p>
      <w:pPr>
        <w:spacing w:before="0" w:after="120"/>
      </w:pPr>
      <w:r>
        <w:rPr>
          <w:rFonts w:ascii="Open Sans" w:hAnsi="Open Sans" w:eastAsia="Open Sans" w:cs="Open Sans"/>
          <w:color w:val="231F20"/>
          <w:sz w:val="20"/>
          <w:szCs w:val="20"/>
        </w:rPr>
        <w:t xml:space="preserve">Upload a signed Industry Partner Attestation Form from each industry partner (see “Industry Partners” above). The form is on the JCATI funding page under Forms and Downloads. Under RCW 28B.155.030, JCATI cannot consider a partner that the Attorney General has found in violation of RCW 49.60.030 unless the partner has fulfilled the conditions of any resulting court order or settlement, or has taken significant and meaningful steps to correct the violation, as determined by the Washington State Human Rights Commission. Applications missing a signed form from any industry partner will not be considered for funding.</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Proposal Review Process</w:t>
      </w:r>
    </w:p>
    <w:p>
      <w:pPr>
        <w:pStyle w:val="ListParagraph"/>
        <w:numPr>
          <w:ilvl w:val="0"/>
          <w:numId w:val="1"/>
        </w:numPr>
        <w:spacing w:before="0" w:after="60"/>
      </w:pPr>
      <w:r>
        <w:rPr>
          <w:rFonts w:ascii="Open Sans" w:hAnsi="Open Sans" w:eastAsia="Open Sans" w:cs="Open Sans"/>
          <w:color w:val="231F20"/>
          <w:sz w:val="20"/>
          <w:szCs w:val="20"/>
        </w:rPr>
        <w:t xml:space="preserve">Reviewers are subject matter experts who sign confidentiality agreements to protect proprietary proposal information.</w:t>
      </w:r>
    </w:p>
    <w:p>
      <w:pPr>
        <w:pStyle w:val="ListParagraph"/>
        <w:numPr>
          <w:ilvl w:val="0"/>
          <w:numId w:val="1"/>
        </w:numPr>
        <w:spacing w:before="0" w:after="60"/>
      </w:pPr>
      <w:r>
        <w:rPr>
          <w:rFonts w:ascii="Open Sans" w:hAnsi="Open Sans" w:eastAsia="Open Sans" w:cs="Open Sans"/>
          <w:color w:val="231F20"/>
          <w:sz w:val="20"/>
          <w:szCs w:val="20"/>
        </w:rPr>
        <w:t xml:space="preserve">The JCATI Board of Directors considers reviewer scores and comments in making its final project selections.</w:t>
      </w:r>
    </w:p>
    <w:p>
      <w:pPr>
        <w:keepNext/>
        <w:spacing w:before="160" w:after="80"/>
      </w:pPr>
      <w:r>
        <w:rPr>
          <w:rFonts w:eastAsia="Montserrat" w:cs="Montserrat" w:ascii="Montserrat" w:hAnsi="Montserrat"/>
          <w:b/>
          <w:bCs/>
          <w:color w:val="231F20"/>
          <w:sz w:val="20"/>
          <w:szCs w:val="20"/>
        </w:rPr>
        <w:t xml:space="preserve">Review Criteria</w:t>
      </w:r>
    </w:p>
    <w:p>
      <w:pPr>
        <w:spacing w:before="0" w:after="120"/>
      </w:pPr>
      <w:r>
        <w:rPr>
          <w:rFonts w:ascii="Open Sans" w:hAnsi="Open Sans" w:eastAsia="Open Sans" w:cs="Open Sans"/>
          <w:color w:val="231F20"/>
          <w:sz w:val="20"/>
          <w:szCs w:val="20"/>
        </w:rPr>
        <w:t xml:space="preserve">Reviewers score each proposal on the narrative sections below, for a total of 100 points.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6560"/>
        <w:gridCol w:w="1600"/>
        <w:gridCol w:w="1200"/>
      </w:tblGrid>
      <w:tr>
        <w:trPr>
          <w:tblHeader/>
          <w:cantSplit/>
        </w:trPr>
        <w:tc>
          <w:tcPr>
            <w:tcW w:w="656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Criterion</w:t>
            </w:r>
          </w:p>
        </w:tc>
        <w:tc>
          <w:tcPr>
            <w:tcW w:w="16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Narrative section</w:t>
            </w:r>
          </w:p>
        </w:tc>
        <w:tc>
          <w:tcPr>
            <w:tcW w:w="12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Points</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Technical background and approach: the industry pain point, how the team’s expertise addresses it, and the planned TRL advance</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A.1</w:t>
            </w: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20</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Objectives, outcomes, and deliverables achievable in one year</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A.2</w:t>
            </w: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20</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Partners, roles, and industry support, including where the work takes place</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B.1</w:t>
            </w: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25</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Technology transition plan</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B.2</w:t>
            </w: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15</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Business opportunities and job benefits in WA</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C.1</w:t>
            </w: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10</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Educational, internship, and job opportunities for WA engineering students</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C.2</w:t>
            </w: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10</w:t>
            </w:r>
          </w:p>
        </w:tc>
      </w:tr>
      <w:tr>
        <w:trPr>
          <w:cantSplit/>
        </w:trPr>
        <w:tc>
          <w:tcPr>
            <w:tcW w:w="6560" w:type="dxa"/>
            <w:shd w:val="clear" w:color="auto" w:fill="FFFFFF"/>
            <w:tcMar>
              <w:top w:w="50" w:type="dxa"/>
              <w:left w:w="90" w:type="dxa"/>
              <w:bottom w:w="50" w:type="dxa"/>
              <w:right w:w="90" w:type="dxa"/>
            </w:tcMar>
          </w:tcPr>
          <w:p>
            <w:pPr>
              <w:spacing w:before="0" w:after="0"/>
            </w:pPr>
            <w:r>
              <w:rPr>
                <w:rFonts w:ascii="Open Sans" w:hAnsi="Open Sans" w:eastAsia="Open Sans" w:cs="Open Sans"/>
                <w:b/>
                <w:bCs/>
                <w:color w:val="231F20"/>
                <w:sz w:val="17"/>
                <w:szCs w:val="17"/>
              </w:rPr>
              <w:t xml:space="preserve">Total</w:t>
            </w:r>
          </w:p>
        </w:tc>
        <w:tc>
          <w:tcPr>
            <w:tcW w:w="1600" w:type="dxa"/>
            <w:shd w:val="clear" w:color="auto" w:fill="FFFFFF"/>
            <w:tcMar>
              <w:top w:w="50" w:type="dxa"/>
              <w:left w:w="90" w:type="dxa"/>
              <w:bottom w:w="50" w:type="dxa"/>
              <w:right w:w="90" w:type="dxa"/>
            </w:tcMar>
          </w:tcPr>
          <w:p>
            <w:pPr>
              <w:spacing w:before="0" w:after="0"/>
            </w:pPr>
          </w:p>
        </w:tc>
        <w:tc>
          <w:tcPr>
            <w:tcW w:w="1200" w:type="dxa"/>
            <w:shd w:val="clear" w:color="auto" w:fill="FFFFFF"/>
            <w:tcMar>
              <w:top w:w="50" w:type="dxa"/>
              <w:left w:w="90" w:type="dxa"/>
              <w:bottom w:w="50" w:type="dxa"/>
              <w:right w:w="90" w:type="dxa"/>
            </w:tcMar>
          </w:tcPr>
          <w:p>
            <w:pPr>
              <w:spacing w:before="0" w:after="0"/>
            </w:pPr>
            <w:r>
              <w:rPr>
                <w:rFonts w:ascii="Open Sans" w:hAnsi="Open Sans" w:eastAsia="Open Sans" w:cs="Open Sans"/>
                <w:b/>
                <w:bCs/>
                <w:color w:val="231F20"/>
                <w:sz w:val="17"/>
                <w:szCs w:val="17"/>
              </w:rPr>
              <w:t xml:space="preserve">100</w:t>
            </w:r>
          </w:p>
        </w:tc>
      </w:tr>
    </w:tbl>
    <w:p>
      <w:pPr>
        <w:spacing w:before="0" w:after="60"/>
      </w:pPr>
    </w:p>
    <w:p>
      <w:pPr>
        <w:spacing w:before="0" w:after="120"/>
      </w:pPr>
      <w:r>
        <w:rPr>
          <w:rFonts w:ascii="Open Sans" w:hAnsi="Open Sans" w:eastAsia="Open Sans" w:cs="Open Sans"/>
          <w:color w:val="231F20"/>
          <w:sz w:val="20"/>
          <w:szCs w:val="20"/>
        </w:rPr>
        <w:t xml:space="preserve">Selection preference is for projects with a high probability of transitioning the technology to the industry partner within one year after the project ends, preferably sooner. JCATI funding is not appropriate for basic research or long-term projects.</w:t>
      </w:r>
    </w:p>
    <w:p>
      <w:pPr>
        <w:spacing w:before="0" w:after="120"/>
      </w:pPr>
      <w:r>
        <w:rPr>
          <w:rFonts w:ascii="Open Sans" w:hAnsi="Open Sans" w:eastAsia="Open Sans" w:cs="Open Sans"/>
          <w:color w:val="231F20"/>
          <w:sz w:val="20"/>
          <w:szCs w:val="20"/>
        </w:rPr>
        <w:t xml:space="preserve">Proposal information is not released without the permission of both the academic and industry partners. When awards are announced and funds committed, the PI and institution are listed on the JCATI website, along with whatever the PI and industry partner agreed on the Application Cover Sheet to share. No further project information is made public unless authorized.</w:t>
      </w:r>
    </w:p>
    <w:p>
      <w:pPr>
        <w:pStyle w:val="Heading1"/>
        <w:keepNext/>
        <w:pBdr>
          <w:bottom w:val="single" w:sz="6" w:space="4" w:color="008E60"/>
        </w:pBdr>
        <w:spacing w:before="320" w:after="160"/>
      </w:pPr>
      <w:r>
        <w:rPr>
          <w:rFonts w:eastAsia="Montserrat" w:cs="Montserrat" w:ascii="Montserrat" w:hAnsi="Montserrat"/>
          <w:b/>
          <w:bCs/>
          <w:color w:val="000000"/>
          <w:sz w:val="26"/>
          <w:szCs w:val="26"/>
        </w:rPr>
        <w:t xml:space="preserve">Award Terms and Conditions</w:t>
      </w:r>
    </w:p>
    <w:p>
      <w:pPr>
        <w:keepNext/>
        <w:spacing w:before="160" w:after="80"/>
      </w:pPr>
      <w:r>
        <w:rPr>
          <w:rFonts w:eastAsia="Montserrat" w:cs="Montserrat" w:ascii="Montserrat" w:hAnsi="Montserrat"/>
          <w:b/>
          <w:bCs/>
          <w:color w:val="231F20"/>
          <w:sz w:val="20"/>
          <w:szCs w:val="20"/>
        </w:rPr>
        <w:t xml:space="preserve">Before Funds Are Released</w:t>
      </w:r>
    </w:p>
    <w:p>
      <w:pPr>
        <w:pStyle w:val="ListParagraph"/>
        <w:numPr>
          <w:ilvl w:val="0"/>
          <w:numId w:val="1"/>
        </w:numPr>
        <w:spacing w:before="0" w:after="60"/>
      </w:pPr>
      <w:r>
        <w:rPr>
          <w:rFonts w:ascii="Open Sans" w:hAnsi="Open Sans" w:eastAsia="Open Sans" w:cs="Open Sans"/>
          <w:color w:val="231F20"/>
          <w:sz w:val="20"/>
          <w:szCs w:val="20"/>
        </w:rPr>
        <w:t xml:space="preserve">Award decisions cannot be appealed. No award is final until JCATI's award agreement has been executed with the applicant institution, which is legally responsible for authorizing and submitting the proposal, administering the award, and disbursing JCATI funds.</w:t>
      </w:r>
    </w:p>
    <w:p>
      <w:pPr>
        <w:pStyle w:val="ListParagraph"/>
        <w:numPr>
          <w:ilvl w:val="0"/>
          <w:numId w:val="1"/>
        </w:numPr>
        <w:spacing w:before="0" w:after="60"/>
      </w:pPr>
      <w:r>
        <w:rPr>
          <w:rFonts w:ascii="Open Sans" w:hAnsi="Open Sans" w:eastAsia="Open Sans" w:cs="Open Sans"/>
          <w:color w:val="231F20"/>
          <w:sz w:val="20"/>
          <w:szCs w:val="20"/>
        </w:rPr>
        <w:t xml:space="preserve">If the award differs from the amount requested, the JCATI Program Manager will ask for a revised budget and scope. An effort reduction greater than 25% needs Program Manager approval.</w:t>
      </w:r>
    </w:p>
    <w:p>
      <w:pPr>
        <w:pStyle w:val="ListParagraph"/>
        <w:numPr>
          <w:ilvl w:val="0"/>
          <w:numId w:val="1"/>
        </w:numPr>
        <w:spacing w:before="0" w:after="60"/>
      </w:pPr>
      <w:r>
        <w:rPr>
          <w:rFonts w:ascii="Open Sans" w:hAnsi="Open Sans" w:eastAsia="Open Sans" w:cs="Open Sans"/>
          <w:color w:val="231F20"/>
          <w:sz w:val="20"/>
          <w:szCs w:val="20"/>
        </w:rPr>
        <w:t xml:space="preserve">Funds are released after the university IP office confirms the signed IP election (see “Management and Ownership of Intellectual Property”).</w:t>
      </w:r>
    </w:p>
    <w:p>
      <w:pPr>
        <w:keepNext/>
        <w:spacing w:before="160" w:after="80"/>
      </w:pPr>
      <w:r>
        <w:rPr>
          <w:rFonts w:eastAsia="Montserrat" w:cs="Montserrat" w:ascii="Montserrat" w:hAnsi="Montserrat"/>
          <w:b/>
          <w:bCs/>
          <w:color w:val="231F20"/>
          <w:sz w:val="20"/>
          <w:szCs w:val="20"/>
        </w:rPr>
        <w:t xml:space="preserve">During the Project</w:t>
      </w:r>
    </w:p>
    <w:p>
      <w:pPr>
        <w:pStyle w:val="ListParagraph"/>
        <w:numPr>
          <w:ilvl w:val="0"/>
          <w:numId w:val="1"/>
        </w:numPr>
        <w:spacing w:before="0" w:after="60"/>
      </w:pPr>
      <w:r>
        <w:rPr>
          <w:rFonts w:ascii="Open Sans" w:hAnsi="Open Sans" w:eastAsia="Open Sans" w:cs="Open Sans"/>
          <w:color w:val="231F20"/>
          <w:sz w:val="20"/>
          <w:szCs w:val="20"/>
        </w:rPr>
        <w:t xml:space="preserve">The PI leads the proposed work, manages the budget, attends the symposium with their students, and reports progress. The industry partner is expected to provide the support described in its letter of support, collaborate with the PI, and transition the technology back into the company. JCATI will also ask each industry partner to complete a short survey at the start of the project and again at its end.</w:t>
      </w:r>
    </w:p>
    <w:p>
      <w:pPr>
        <w:pStyle w:val="ListParagraph"/>
        <w:numPr>
          <w:ilvl w:val="0"/>
          <w:numId w:val="1"/>
        </w:numPr>
        <w:spacing w:before="0" w:after="60"/>
      </w:pPr>
      <w:r>
        <w:rPr>
          <w:rFonts w:ascii="Open Sans" w:hAnsi="Open Sans" w:eastAsia="Open Sans" w:cs="Open Sans"/>
          <w:color w:val="231F20"/>
          <w:sz w:val="20"/>
          <w:szCs w:val="20"/>
        </w:rPr>
        <w:t xml:space="preserve">JCATI may ask PIs to take part in a post-award kickoff meeting to confirm project aims and scope, and to check in with JCATI staff during the project. A JCATI Board member may also be offered as an optional sounding board the PI can call on during the project; taking part is up to the PI.</w:t>
      </w:r>
    </w:p>
    <w:p>
      <w:pPr>
        <w:pStyle w:val="ListParagraph"/>
        <w:numPr>
          <w:ilvl w:val="0"/>
          <w:numId w:val="1"/>
        </w:numPr>
        <w:spacing w:before="0" w:after="60"/>
      </w:pPr>
      <w:r>
        <w:rPr>
          <w:rFonts w:ascii="Open Sans" w:hAnsi="Open Sans" w:eastAsia="Open Sans" w:cs="Open Sans"/>
          <w:color w:val="231F20"/>
          <w:sz w:val="20"/>
          <w:szCs w:val="20"/>
        </w:rPr>
        <w:t xml:space="preserve">The PI must get Program Manager approval before spending award funds in ways not described in the approved budget.</w:t>
      </w:r>
    </w:p>
    <w:p>
      <w:pPr>
        <w:pStyle w:val="ListParagraph"/>
        <w:numPr>
          <w:ilvl w:val="0"/>
          <w:numId w:val="1"/>
        </w:numPr>
        <w:spacing w:before="0" w:after="60"/>
      </w:pPr>
      <w:r>
        <w:rPr>
          <w:rFonts w:ascii="Open Sans" w:hAnsi="Open Sans" w:eastAsia="Open Sans" w:cs="Open Sans"/>
          <w:color w:val="231F20"/>
          <w:sz w:val="20"/>
          <w:szCs w:val="20"/>
        </w:rPr>
        <w:t xml:space="preserve">JCATI-funded awards are subject to the same regulatory requirements as other sponsored programs. PIs should work with their institutions on compliance, including conflicts of interest and disclosures, data privacy and security, environmental health and safety, export controls, and facility use.</w:t>
      </w:r>
    </w:p>
    <w:p>
      <w:pPr>
        <w:pStyle w:val="ListParagraph"/>
        <w:numPr>
          <w:ilvl w:val="0"/>
          <w:numId w:val="1"/>
        </w:numPr>
        <w:spacing w:before="0" w:after="60"/>
      </w:pPr>
      <w:r>
        <w:rPr>
          <w:rFonts w:ascii="Open Sans" w:hAnsi="Open Sans" w:eastAsia="Open Sans" w:cs="Open Sans"/>
          <w:color w:val="231F20"/>
          <w:sz w:val="20"/>
          <w:szCs w:val="20"/>
        </w:rPr>
        <w:t xml:space="preserve">If the PI changes institutions, JCATI funds cannot be transferred outside WA or to a private WA institution.</w:t>
      </w:r>
    </w:p>
    <w:p>
      <w:pPr>
        <w:pStyle w:val="ListParagraph"/>
        <w:numPr>
          <w:ilvl w:val="0"/>
          <w:numId w:val="1"/>
        </w:numPr>
        <w:spacing w:before="0" w:after="60"/>
      </w:pPr>
      <w:r>
        <w:rPr>
          <w:rFonts w:ascii="Open Sans" w:hAnsi="Open Sans" w:eastAsia="Open Sans" w:cs="Open Sans"/>
          <w:color w:val="231F20"/>
          <w:sz w:val="20"/>
          <w:szCs w:val="20"/>
        </w:rPr>
        <w:t xml:space="preserve">Recipient organizations, PIs, and industry partners are expected to reasonably assist JCATI in communicating funded work and its impact on the WA aerospace industry.</w:t>
      </w:r>
    </w:p>
    <w:p>
      <w:pPr>
        <w:keepNext/>
        <w:spacing w:before="160" w:after="80"/>
      </w:pPr>
      <w:r>
        <w:rPr>
          <w:rFonts w:eastAsia="Montserrat" w:cs="Montserrat" w:ascii="Montserrat" w:hAnsi="Montserrat"/>
          <w:b/>
          <w:bCs/>
          <w:color w:val="231F20"/>
          <w:sz w:val="20"/>
          <w:szCs w:val="20"/>
        </w:rPr>
        <w:t xml:space="preserve">At Closeout</w:t>
      </w:r>
    </w:p>
    <w:p>
      <w:pPr>
        <w:pStyle w:val="ListParagraph"/>
        <w:numPr>
          <w:ilvl w:val="0"/>
          <w:numId w:val="1"/>
        </w:numPr>
        <w:spacing w:before="0" w:after="60"/>
      </w:pPr>
      <w:r>
        <w:rPr>
          <w:rFonts w:ascii="Open Sans" w:hAnsi="Open Sans" w:eastAsia="Open Sans" w:cs="Open Sans"/>
          <w:color w:val="231F20"/>
          <w:sz w:val="20"/>
          <w:szCs w:val="20"/>
        </w:rPr>
        <w:t xml:space="preserve">PIs should work with their fiscal team to spend all award funds by June 30, 2028 (see Award Information).</w:t>
      </w:r>
    </w:p>
    <w:p>
      <w:pPr>
        <w:pStyle w:val="ListParagraph"/>
        <w:numPr>
          <w:ilvl w:val="0"/>
          <w:numId w:val="1"/>
        </w:numPr>
        <w:spacing w:before="0" w:after="60"/>
      </w:pPr>
      <w:r>
        <w:rPr>
          <w:rFonts w:ascii="Open Sans" w:hAnsi="Open Sans" w:eastAsia="Open Sans" w:cs="Open Sans"/>
          <w:color w:val="231F20"/>
          <w:sz w:val="20"/>
          <w:szCs w:val="20"/>
        </w:rPr>
        <w:t xml:space="preserve">A final report is required by July 17, 2028. It covers technology transition progress, student involvement (including a roster of participating students with degree level, and USP outcomes where USP funds were awarded), each industry partner's closing letter stating the support it delivered, and an update to your Project Snapshot (Section II). Report data is used for mandatory reporting to the WA Legislature, and JCATI may follow up with the PI for updates. With their consent, JCATI may also contact participating students later about their career outcomes. Failure to deliver support or provide required information may affect future funding.</w:t>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440" w:right="1440" w:gutter="0" w:header="708" w:top="1080" w:footer="708" w:bottom="108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 Sans">
    <w:charset w:val="01"/>
    <w:family w:val="roman"/>
    <w:pitch w:val="variable"/>
  </w:font>
  <w:font w:name="Liberation Sans">
    <w:altName w:val="Arial"/>
    <w:charset w:val="01"/>
    <w:family w:val="swiss"/>
    <w:pitch w:val="variable"/>
  </w:font>
  <w:font w:name="Montserra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Request for Proposals</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Request for Proposals</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4" w:hanging="288"/>
      </w:pPr>
      <w:rPr>
        <w:rFonts w:ascii="Symbol" w:hAnsi="Symbol" w:cs="Symbol" w:hint="default"/>
      </w:rPr>
    </w:lvl>
    <w:lvl w:ilvl="1">
      <w:start w:val="1"/>
      <w:numFmt w:val="bullet"/>
      <w:lvlText w:val="–"/>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Open Sans" w:hAnsi="Open Sans" w:eastAsia="Open Sans" w:cs="Open Sans"/>
        <w:color w:val="231F20"/>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Open Sans" w:hAnsi="Open Sans" w:eastAsia="Open Sans" w:cs="Open Sans"/>
      <w:b/>
      <w:bCs/>
      <w:color w:val="231F20"/>
      <w:kern w:val="0"/>
      <w:sz w:val="20"/>
      <w:szCs w:val="20"/>
      <w:lang w:val="en-US" w:eastAsia="zh-CN" w:bidi="hi-IN"/>
    </w:rPr>
  </w:style>
  <w:style w:type="paragraph" w:styleId="ListParagraph">
    <w:name w:val="List Paragraph"/>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cati.org/funding-request-proposals" TargetMode="External"/><Relationship Id="rId3" Type="http://schemas.openxmlformats.org/officeDocument/2006/relationships/hyperlink" Target="https://jcati.org/funding-request-proposals" TargetMode="External"/><Relationship Id="rId4" Type="http://schemas.openxmlformats.org/officeDocument/2006/relationships/hyperlink" Target="https://jcati.org/"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13</Pages>
  <Words>810</Words>
  <Characters>4405</Characters>
  <CharactersWithSpaces>5164</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2026-09-03T17:51:39Z</dcterms:created>
  <dc:creator>Un-named</dc:creator>
  <dc:description/>
  <dc:language>en-US</dc:language>
  <cp:lastModifiedBy/>
  <dcterms:modified xsi:type="dcterms:W3CDTF">2026-10-21T14:11:37Z</dcterms:modified>
  <cp:revision>2</cp:revision>
  <dc:subject/>
  <dc:title/>
</cp:coreProperties>
</file>