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media/image1.jpeg" ContentType="image/jpeg"/>
  <Override PartName="/word/header3.xml" ContentType="application/vnd.openxmlformats-officedocument.wordprocessingml.header+xml"/>
  <Override PartName="/word/footer1.xml" ContentType="application/vnd.openxmlformats-officedocument.wordprocessingml.footer+xml"/>
  <Override PartName="/word/_rels/document.xml.rels" ContentType="application/vnd.openxmlformats-package.relationships+xml"/>
  <Override PartName="/word/_rels/header2.xml.rels" ContentType="application/vnd.openxmlformats-package.relationships+xml"/>
  <Override PartName="/word/_rels/header3.xml.rels" ContentType="application/vnd.openxmlformats-package.relationships+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spacing w:before="120" w:after="60"/>
        <w:jc w:val="center"/>
      </w:pPr>
      <w:r>
        <w:rPr>
          <w:rFonts w:eastAsia="Montserrat" w:cs="Montserrat" w:ascii="Montserrat" w:hAnsi="Montserrat"/>
          <w:b/>
          <w:bCs/>
          <w:color w:val="000000"/>
          <w:sz w:val="34"/>
          <w:szCs w:val="34"/>
        </w:rPr>
        <w:t xml:space="preserve">Industry Partner Attestation Form</w:t>
      </w:r>
    </w:p>
    <w:p>
      <w:pPr>
        <w:spacing w:before="0" w:after="200"/>
        <w:jc w:val="center"/>
      </w:pPr>
      <w:r>
        <w:rPr>
          <w:rFonts w:eastAsia="Montserrat" w:cs="Montserrat" w:ascii="Montserrat" w:hAnsi="Montserrat"/>
          <w:color w:val="231F20"/>
          <w:sz w:val="21"/>
          <w:szCs w:val="21"/>
        </w:rPr>
        <w:t xml:space="preserve">JCATI 2027–28 Request for Proposals</w:t>
      </w:r>
    </w:p>
    <w:p>
      <w:pPr>
        <w:spacing w:before="0" w:after="120"/>
      </w:pPr>
      <w:r>
        <w:rPr>
          <w:rFonts w:ascii="Open Sans" w:hAnsi="Open Sans" w:eastAsia="Open Sans" w:cs="Open Sans"/>
          <w:color w:val="231F20"/>
          <w:sz w:val="20"/>
          <w:szCs w:val="20"/>
        </w:rPr>
        <w:t xml:space="preserve">Every JCATI industry partner completes this form, and the university PI uploads it with the proposal (Section IX). One form is needed for each industry partner on each proposal.</w:t>
      </w:r>
    </w:p>
    <w:p>
      <w:pPr>
        <w:pStyle w:val="Heading1"/>
        <w:keepNext/>
        <w:pBdr>
          <w:bottom w:val="single" w:sz="6" w:space="4" w:color="008E60"/>
        </w:pBdr>
        <w:spacing w:before="180" w:after="90"/>
      </w:pPr>
      <w:r>
        <w:rPr>
          <w:rFonts w:eastAsia="Montserrat" w:cs="Montserrat" w:ascii="Montserrat" w:hAnsi="Montserrat"/>
          <w:b/>
          <w:bCs/>
          <w:color w:val="000000"/>
          <w:sz w:val="26"/>
          <w:szCs w:val="26"/>
        </w:rPr>
        <w:t xml:space="preserve">Why JCATI Asks</w:t>
      </w:r>
    </w:p>
    <w:p>
      <w:pPr>
        <w:spacing w:before="0" w:after="120"/>
      </w:pPr>
      <w:r>
        <w:rPr>
          <w:rFonts w:ascii="Open Sans" w:hAnsi="Open Sans" w:eastAsia="Open Sans" w:cs="Open Sans"/>
          <w:color w:val="231F20"/>
          <w:sz w:val="20"/>
          <w:szCs w:val="20"/>
        </w:rPr>
        <w:t xml:space="preserve">In 2020, the Legislature reauthorized JCATI through Second Substitute Senate Bill 6139 (6139-S2.PL), which added language on discrimination and civil rights requirements for JCATI industry partners. The new section and RCW 49.60.030 are reproduced below. It is important to ensure that state funds do not benefit companies that violate RCW 49.60.030, so JCATI informs each industry partner of this language and asks it to verify its compliance status.</w:t>
      </w:r>
    </w:p>
    <w:p>
      <w:pPr>
        <w:pStyle w:val="Heading1"/>
        <w:keepNext/>
        <w:pBdr>
          <w:bottom w:val="single" w:sz="6" w:space="4" w:color="008E60"/>
        </w:pBdr>
        <w:spacing w:before="180" w:after="90"/>
      </w:pPr>
      <w:r>
        <w:rPr>
          <w:rFonts w:eastAsia="Montserrat" w:cs="Montserrat" w:ascii="Montserrat" w:hAnsi="Montserrat"/>
          <w:b/>
          <w:bCs/>
          <w:color w:val="000000"/>
          <w:sz w:val="26"/>
          <w:szCs w:val="26"/>
        </w:rPr>
        <w:t xml:space="preserve">Bill 6139-S2.PL</w:t>
      </w:r>
    </w:p>
    <w:p>
      <w:pPr>
        <w:spacing w:before="0" w:after="120"/>
      </w:pPr>
      <w:r>
        <w:rPr>
          <w:rFonts w:ascii="Open Sans" w:hAnsi="Open Sans" w:eastAsia="Open Sans" w:cs="Open Sans"/>
          <w:color w:val="231F20"/>
          <w:sz w:val="20"/>
          <w:szCs w:val="20"/>
        </w:rPr>
        <w:t xml:space="preserve">NEW SECTION. Sec. 3. A new section is added to chapter 28B.155 RCW to read as follows:</w:t>
      </w:r>
    </w:p>
    <w:p>
      <w:pPr>
        <w:spacing w:before="0" w:after="120"/>
      </w:pPr>
      <w:r>
        <w:rPr>
          <w:rFonts w:ascii="Open Sans" w:hAnsi="Open Sans" w:eastAsia="Open Sans" w:cs="Open Sans"/>
          <w:color w:val="231F20"/>
          <w:sz w:val="20"/>
          <w:szCs w:val="20"/>
        </w:rPr>
        <w:t xml:space="preserve">When determining industry partners, the Joint Center for Aerospace Technology Innovation shall ensue aerospace firms and aerospace industry associations adhere to the values of the state of Washington under RCW 49.60.030, which provides its citizens freedom from discrimination. Any relationship with a potential or current industry partner that is found to have violated RCW 49.60.030 by the Attorney General shall not be considered and immediately terminated unless:</w:t>
      </w:r>
    </w:p>
    <w:p>
      <w:pPr>
        <w:pStyle w:val="ListParagraph"/>
        <w:numPr>
          <w:ilvl w:val="0"/>
          <w:numId w:val="1"/>
        </w:numPr>
        <w:spacing w:before="0" w:after="60"/>
      </w:pPr>
      <w:r>
        <w:rPr>
          <w:rFonts w:ascii="Open Sans" w:hAnsi="Open Sans" w:eastAsia="Open Sans" w:cs="Open Sans"/>
          <w:color w:val="231F20"/>
          <w:sz w:val="20"/>
          <w:szCs w:val="20"/>
        </w:rPr>
        <w:t xml:space="preserve">1. The industry partner has fulfilled the conditions of obligations associated with any court order or settlement resulting from that violation; or</w:t>
      </w:r>
    </w:p>
    <w:p>
      <w:pPr>
        <w:pStyle w:val="ListParagraph"/>
        <w:numPr>
          <w:ilvl w:val="0"/>
          <w:numId w:val="1"/>
        </w:numPr>
        <w:spacing w:before="0" w:after="60"/>
      </w:pPr>
      <w:r>
        <w:rPr>
          <w:rFonts w:ascii="Open Sans" w:hAnsi="Open Sans" w:eastAsia="Open Sans" w:cs="Open Sans"/>
          <w:color w:val="231F20"/>
          <w:sz w:val="20"/>
          <w:szCs w:val="20"/>
        </w:rPr>
        <w:t xml:space="preserve">2. The industry partner has taken significant and meaningful steps to correct the violation, as determined by the Washington state human rights commission.</w:t>
      </w:r>
    </w:p>
    <w:p>
      <w:pPr>
        <w:pStyle w:val="Heading1"/>
        <w:keepNext/>
        <w:pBdr>
          <w:bottom w:val="single" w:sz="6" w:space="4" w:color="008E60"/>
        </w:pBdr>
        <w:spacing w:before="180" w:after="90"/>
      </w:pPr>
      <w:r>
        <w:rPr>
          <w:rFonts w:eastAsia="Montserrat" w:cs="Montserrat" w:ascii="Montserrat" w:hAnsi="Montserrat"/>
          <w:b/>
          <w:bCs/>
          <w:color w:val="000000"/>
          <w:sz w:val="26"/>
          <w:szCs w:val="26"/>
        </w:rPr>
        <w:t xml:space="preserve">RCW 49.60.030 Freedom from discrimination—Declaration of civil rights</w:t>
      </w:r>
    </w:p>
    <w:p>
      <w:pPr>
        <w:spacing w:before="0" w:after="120"/>
      </w:pPr>
      <w:r>
        <w:rPr>
          <w:rFonts w:ascii="Open Sans" w:hAnsi="Open Sans" w:eastAsia="Open Sans" w:cs="Open Sans"/>
          <w:color w:val="231F20"/>
          <w:sz w:val="20"/>
          <w:szCs w:val="20"/>
        </w:rPr>
        <w:t xml:space="preserve">(1) The right to be free from discrimination because of race, creed, color, national origin, sex, honorably discharged veteran or military status, sexual orientation, or the presence of any sensory, mental, or physical disability or the use of a trained dog guide or service animal by a person with a disability is recognized as and declared to be a civil right. This right shall include, but not be limited to:</w:t>
      </w:r>
    </w:p>
    <w:p>
      <w:pPr>
        <w:pStyle w:val="ListParagraph"/>
        <w:numPr>
          <w:ilvl w:val="0"/>
          <w:numId w:val="1"/>
        </w:numPr>
        <w:spacing w:before="0" w:after="60"/>
      </w:pPr>
      <w:r>
        <w:rPr>
          <w:rFonts w:ascii="Open Sans" w:hAnsi="Open Sans" w:eastAsia="Open Sans" w:cs="Open Sans"/>
          <w:color w:val="231F20"/>
          <w:sz w:val="20"/>
          <w:szCs w:val="20"/>
        </w:rPr>
        <w:t xml:space="preserve">(a) The right to obtain and hold employment without discrimination;</w:t>
      </w:r>
    </w:p>
    <w:p>
      <w:pPr>
        <w:pStyle w:val="ListParagraph"/>
        <w:numPr>
          <w:ilvl w:val="0"/>
          <w:numId w:val="1"/>
        </w:numPr>
        <w:spacing w:before="0" w:after="60"/>
      </w:pPr>
      <w:r>
        <w:rPr>
          <w:rFonts w:ascii="Open Sans" w:hAnsi="Open Sans" w:eastAsia="Open Sans" w:cs="Open Sans"/>
          <w:color w:val="231F20"/>
          <w:sz w:val="20"/>
          <w:szCs w:val="20"/>
        </w:rPr>
        <w:t xml:space="preserve">(b) The right to the full enjoyment of any of the accommodations, advantages, facilities, or privileges of any place of public resort, accommodation, assemblage, or amusement;</w:t>
      </w:r>
    </w:p>
    <w:p>
      <w:pPr>
        <w:pStyle w:val="ListParagraph"/>
        <w:numPr>
          <w:ilvl w:val="0"/>
          <w:numId w:val="1"/>
        </w:numPr>
        <w:spacing w:before="0" w:after="60"/>
      </w:pPr>
      <w:r>
        <w:rPr>
          <w:rFonts w:ascii="Open Sans" w:hAnsi="Open Sans" w:eastAsia="Open Sans" w:cs="Open Sans"/>
          <w:color w:val="231F20"/>
          <w:sz w:val="20"/>
          <w:szCs w:val="20"/>
        </w:rPr>
        <w:t xml:space="preserve">(c) The right to engage in real estate transactions without discrimination, including discrimination against families with children;</w:t>
      </w:r>
    </w:p>
    <w:p>
      <w:pPr>
        <w:pStyle w:val="ListParagraph"/>
        <w:numPr>
          <w:ilvl w:val="0"/>
          <w:numId w:val="1"/>
        </w:numPr>
        <w:spacing w:before="0" w:after="60"/>
      </w:pPr>
      <w:r>
        <w:rPr>
          <w:rFonts w:ascii="Open Sans" w:hAnsi="Open Sans" w:eastAsia="Open Sans" w:cs="Open Sans"/>
          <w:color w:val="231F20"/>
          <w:sz w:val="20"/>
          <w:szCs w:val="20"/>
        </w:rPr>
        <w:t xml:space="preserve">(d) The right to engage in credit transactions without discrimination;</w:t>
      </w:r>
    </w:p>
    <w:p>
      <w:pPr>
        <w:pStyle w:val="ListParagraph"/>
        <w:numPr>
          <w:ilvl w:val="0"/>
          <w:numId w:val="1"/>
        </w:numPr>
        <w:spacing w:before="0" w:after="60"/>
      </w:pPr>
      <w:r>
        <w:rPr>
          <w:rFonts w:ascii="Open Sans" w:hAnsi="Open Sans" w:eastAsia="Open Sans" w:cs="Open Sans"/>
          <w:color w:val="231F20"/>
          <w:sz w:val="20"/>
          <w:szCs w:val="20"/>
        </w:rPr>
        <w:t xml:space="preserve">(e) The right to engage in insurance transactions or transactions with health maintenance organizations without discrimination: PROVIDED, That a practice which is not unlawful under RCW 48.30.300, 48.44.220, or 48.46.370 does not constitute an unfair practice for the purposes of this subparagraph;</w:t>
      </w:r>
    </w:p>
    <w:p>
      <w:pPr>
        <w:pStyle w:val="ListParagraph"/>
        <w:numPr>
          <w:ilvl w:val="0"/>
          <w:numId w:val="1"/>
        </w:numPr>
        <w:spacing w:before="0" w:after="60"/>
      </w:pPr>
      <w:r>
        <w:rPr>
          <w:rFonts w:ascii="Open Sans" w:hAnsi="Open Sans" w:eastAsia="Open Sans" w:cs="Open Sans"/>
          <w:color w:val="231F20"/>
          <w:sz w:val="20"/>
          <w:szCs w:val="20"/>
        </w:rPr>
        <w:t xml:space="preserve">(f) The right to engage in commerce free from any discriminatory boycotts or blacklists. Discriminatory boycotts or blacklists for purposes of this section shall be defined as the formation or execution of any express or implied agreement, understanding, policy or contractual arrangement for economic benefit between any persons which is not specifically authorized by the laws of the United States and which is required or imposed, either directly or indirectly, overtly or covertly, by a foreign government or foreign person in order to restrict, condition, prohibit, or interfere with or in order to exclude any person or persons from any business relationship on the basis of race, color, creed, religion, sex, honorably discharged veteran or military status, sexual orientation, the presence of any sensory, mental, or physical disability, or the use of a trained dog guide or service animal by a person with a disability, or national origin or lawful business relationship: PROVIDED HOWEVER, That nothing herein contained shall prohibit the use of boycotts as authorized by law pertaining to labor disputes and unfair labor practices; and</w:t>
      </w:r>
    </w:p>
    <w:p>
      <w:pPr>
        <w:pStyle w:val="ListParagraph"/>
        <w:numPr>
          <w:ilvl w:val="0"/>
          <w:numId w:val="1"/>
        </w:numPr>
        <w:spacing w:before="0" w:after="60"/>
      </w:pPr>
      <w:r>
        <w:rPr>
          <w:rFonts w:ascii="Open Sans" w:hAnsi="Open Sans" w:eastAsia="Open Sans" w:cs="Open Sans"/>
          <w:color w:val="231F20"/>
          <w:sz w:val="20"/>
          <w:szCs w:val="20"/>
        </w:rPr>
        <w:t xml:space="preserve">(g) The right of a mother to breastfeed her child in any place of public resort, accommodation, assemblage, or amusement.</w:t>
      </w:r>
    </w:p>
    <w:p>
      <w:pPr>
        <w:spacing w:before="0" w:after="120"/>
      </w:pPr>
      <w:r>
        <w:rPr>
          <w:rFonts w:ascii="Open Sans" w:hAnsi="Open Sans" w:eastAsia="Open Sans" w:cs="Open Sans"/>
          <w:color w:val="231F20"/>
          <w:sz w:val="20"/>
          <w:szCs w:val="20"/>
        </w:rPr>
        <w:t xml:space="preserve">(2) Any person deeming himself or herself injured by any act in violation of this chapter shall have a civil action in a court of competent jurisdiction to enjoin further violations, or to recover the actual damages sustained by the person, or both, together with the cost of suit including reasonable attorneys' fees or any other appropriate remedy authorized by this chapter or the United States Civil Rights Act of 1964 as amended, or the Federal Fair Housing Amendments Act of 1988 (42 U.S.C. Sec. 3601 et seq.).</w:t>
      </w:r>
    </w:p>
    <w:p>
      <w:pPr>
        <w:spacing w:before="0" w:after="120"/>
      </w:pPr>
      <w:r>
        <w:rPr>
          <w:rFonts w:ascii="Open Sans" w:hAnsi="Open Sans" w:eastAsia="Open Sans" w:cs="Open Sans"/>
          <w:color w:val="231F20"/>
          <w:sz w:val="20"/>
          <w:szCs w:val="20"/>
        </w:rPr>
        <w:t xml:space="preserve">(3) Except for any unfair practice committed by an employer against an employee or a prospective employee, or any unfair practice in a real estate transaction which is the basis for relief specified in the amendments to RCW 49.60.225 contained in chapter 69, Laws of 1993, any unfair practice prohibited by this chapter which is committed in the course of trade or commerce as defined in the Consumer Protection Act, chapter 19.86 RCW, is, for the purpose of applying that chapter, a matter affecting the public interest, is not reasonable in relation to the development and preservation of business, and is an unfair or deceptive act in trade or commerce.</w:t>
      </w:r>
    </w:p>
    <w:p>
      <w:pPr>
        <w:spacing w:before="0" w:after="120"/>
      </w:pPr>
      <w:r>
        <w:rPr>
          <w:rFonts w:ascii="Open Sans" w:hAnsi="Open Sans" w:eastAsia="Open Sans" w:cs="Open Sans"/>
          <w:color w:val="231F20"/>
          <w:sz w:val="20"/>
          <w:szCs w:val="20"/>
        </w:rPr>
        <w:t xml:space="preserve">Full text: app.leg.wa.gov/RCW/default.aspx?cite=49.60.030</w:t>
      </w:r>
    </w:p>
    <w:p>
      <w:pPr>
        <w:pStyle w:val="Heading1"/>
        <w:keepNext/>
        <w:pBdr>
          <w:bottom w:val="single" w:sz="6" w:space="4" w:color="008E60"/>
        </w:pBdr>
        <w:spacing w:before="180" w:after="90"/>
      </w:pPr>
      <w:r>
        <w:rPr>
          <w:rFonts w:eastAsia="Montserrat" w:cs="Montserrat" w:ascii="Montserrat" w:hAnsi="Montserrat"/>
          <w:b/>
          <w:bCs/>
          <w:color w:val="000000"/>
          <w:sz w:val="26"/>
          <w:szCs w:val="26"/>
        </w:rPr>
        <w:t xml:space="preserve">Attestation</w:t>
      </w:r>
    </w:p>
    <w:p>
      <w:pPr>
        <w:spacing w:before="0" w:after="120"/>
      </w:pPr>
      <w:r>
        <w:rPr>
          <w:rFonts w:ascii="Open Sans" w:hAnsi="Open Sans" w:eastAsia="Open Sans" w:cs="Open Sans"/>
          <w:b/>
          <w:bCs/>
          <w:color w:val="231F20"/>
          <w:sz w:val="20"/>
          <w:szCs w:val="20"/>
        </w:rPr>
        <w:t xml:space="preserve">Company name:</w:t>
      </w:r>
    </w:p>
    <w:p>
      <w:pPr>
        <w:spacing w:before="0" w:after="120"/>
      </w:pPr>
      <w:r>
        <w:rPr>
          <w:rFonts w:ascii="Open Sans" w:hAnsi="Open Sans" w:eastAsia="Open Sans" w:cs="Open Sans"/>
          <w:b/>
          <w:bCs/>
          <w:color w:val="231F20"/>
          <w:sz w:val="20"/>
          <w:szCs w:val="20"/>
        </w:rPr>
        <w:t xml:space="preserve">Have you been found to be in violation of RCW 49.60.030?</w:t>
      </w:r>
      <w:r>
        <w:rPr>
          <w:rFonts w:ascii="Open Sans" w:hAnsi="Open Sans" w:eastAsia="Open Sans" w:cs="Open Sans"/>
          <w:color w:val="231F20"/>
          <w:sz w:val="20"/>
          <w:szCs w:val="20"/>
        </w:rPr>
        <w:t xml:space="preserve"> ☐ Yes ☐ No</w:t>
      </w:r>
    </w:p>
    <w:p>
      <w:pPr>
        <w:spacing w:before="0" w:after="120"/>
      </w:pPr>
      <w:r>
        <w:rPr>
          <w:rFonts w:ascii="Open Sans" w:hAnsi="Open Sans" w:eastAsia="Open Sans" w:cs="Open Sans"/>
          <w:b/>
          <w:bCs/>
          <w:color w:val="231F20"/>
          <w:sz w:val="20"/>
          <w:szCs w:val="20"/>
        </w:rPr>
        <w:t xml:space="preserve">If yes, what actions did your company take to remedy the situation?</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Pr>
      <w:tblGrid>
        <w:gridCol w:w="9360"/>
      </w:tblGrid>
      <w:tr>
        <w:trPr>
          <w:trHeight w:val="1100" w:hRule="atLeast"/>
        </w:trPr>
        <w:tc>
          <w:tcPr>
            <w:tcW w:w="9360" w:type="dxa"/>
            <w:tcMar>
              <w:top w:w="80" w:type="dxa"/>
              <w:left w:w="120" w:type="dxa"/>
              <w:bottom w:w="80" w:type="dxa"/>
              <w:right w:w="120" w:type="dxa"/>
            </w:tcMar>
          </w:tcPr>
          <w:p>
            <w:pPr>
              <w:spacing w:before="0" w:after="0"/>
            </w:pPr>
            <w:r>
              <w:rPr>
                <w:rFonts w:ascii="Open Sans" w:hAnsi="Open Sans" w:eastAsia="Open Sans" w:cs="Open Sans"/>
                <w:color w:val="808080"/>
                <w:sz w:val="18"/>
                <w:szCs w:val="18"/>
              </w:rPr>
              <w:t xml:space="preserve"/>
            </w:r>
          </w:p>
        </w:tc>
      </w:tr>
    </w:tbl>
    <w:p>
      <w:pPr>
        <w:spacing w:before="0" w:after="80"/>
      </w:pPr>
    </w:p>
    <w:p>
      <w:pPr>
        <w:spacing w:before="0" w:after="120"/>
      </w:pPr>
      <w:r>
        <w:rPr>
          <w:rFonts w:ascii="Open Sans" w:hAnsi="Open Sans" w:eastAsia="Open Sans" w:cs="Open Sans"/>
          <w:b/>
          <w:bCs/>
          <w:color w:val="231F20"/>
          <w:sz w:val="20"/>
          <w:szCs w:val="20"/>
        </w:rPr>
        <w:t xml:space="preserve">Name:</w:t>
      </w:r>
    </w:p>
    <w:p>
      <w:pPr>
        <w:spacing w:before="0" w:after="120"/>
      </w:pPr>
      <w:r>
        <w:rPr>
          <w:rFonts w:ascii="Open Sans" w:hAnsi="Open Sans" w:eastAsia="Open Sans" w:cs="Open Sans"/>
          <w:b/>
          <w:bCs/>
          <w:color w:val="231F20"/>
          <w:sz w:val="20"/>
          <w:szCs w:val="20"/>
        </w:rPr>
        <w:t xml:space="preserve">Title:</w:t>
      </w:r>
    </w:p>
    <w:p>
      <w:pPr>
        <w:spacing w:before="0" w:after="120"/>
      </w:pPr>
      <w:r>
        <w:rPr>
          <w:rFonts w:ascii="Open Sans" w:hAnsi="Open Sans" w:eastAsia="Open Sans" w:cs="Open Sans"/>
          <w:b/>
          <w:bCs/>
          <w:color w:val="231F20"/>
          <w:sz w:val="20"/>
          <w:szCs w:val="20"/>
        </w:rPr>
        <w:t xml:space="preserve">Signature:</w:t>
      </w:r>
    </w:p>
    <w:p>
      <w:pPr>
        <w:spacing w:before="0" w:after="120"/>
      </w:pPr>
      <w:r>
        <w:rPr>
          <w:rFonts w:ascii="Open Sans" w:hAnsi="Open Sans" w:eastAsia="Open Sans" w:cs="Open Sans"/>
          <w:b/>
          <w:bCs/>
          <w:color w:val="231F20"/>
          <w:sz w:val="20"/>
          <w:szCs w:val="20"/>
        </w:rPr>
        <w:t xml:space="preserve">Date:</w:t>
      </w:r>
    </w:p>
    <w:sectPr>
      <w:headerReference w:type="even" r:id="rId5"/>
      <w:headerReference w:type="default" r:id="rId6"/>
      <w:headerReference w:type="first" r:id="rId7"/>
      <w:footerReference w:type="even" r:id="rId8"/>
      <w:footerReference w:type="default" r:id="rId9"/>
      <w:footerReference w:type="first" r:id="rId10"/>
      <w:type w:val="nextPage"/>
      <w:pgSz w:w="12240" w:h="15840"/>
      <w:pgMar w:left="1440" w:right="1440" w:gutter="0" w:header="708" w:top="1080" w:footer="708" w:bottom="108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 Sans">
    <w:charset w:val="01"/>
    <w:family w:val="roman"/>
    <w:pitch w:val="variable"/>
  </w:font>
  <w:font w:name="Liberation Sans">
    <w:altName w:val="Arial"/>
    <w:charset w:val="01"/>
    <w:family w:val="swiss"/>
    <w:pitch w:val="variable"/>
  </w:font>
  <w:font w:name="Montserrat">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8" w:space="6" w:color="008E60"/>
      </w:pBdr>
      <w:tabs>
        <w:tab w:val="clear" w:pos="720"/>
        <w:tab w:val="right" w:pos="9026" w:leader="none"/>
      </w:tabs>
      <w:spacing w:before="60" w:after="0"/>
      <w:rPr/>
    </w:pPr>
    <w:r>
      <w:rPr>
        <w:rFonts w:eastAsia="Open Sans" w:cs="Open Sans"/>
        <w:b/>
        <w:bCs/>
        <w:color w:val="231F20"/>
        <w:sz w:val="16"/>
        <w:szCs w:val="16"/>
      </w:rPr>
      <w:t>JCATI 2027–28 RFP — Industry Partner Packet: Attestation Form</w:t>
    </w:r>
    <w:r>
      <w:rPr>
        <w:rFonts w:eastAsia="Open Sans" w:cs="Open Sans"/>
      </w:rPr>
      <w:tab/>
    </w:r>
    <w:r>
      <w:rPr>
        <w:rFonts w:eastAsia="Open Sans" w:cs="Open Sans"/>
        <w:color w:val="5C6F78"/>
        <w:sz w:val="16"/>
        <w:szCs w:val="16"/>
      </w:rPr>
      <w:t xml:space="preserve">Page </w:t>
    </w:r>
    <w:r>
      <w:rPr/>
      <w:fldChar w:fldCharType="begin"/>
    </w:r>
    <w:r>
      <w:rPr/>
      <w:instrText xml:space="preserve"> PAGE </w:instrText>
    </w:r>
    <w:r>
      <w:rPr/>
      <w:fldChar w:fldCharType="separate"/>
    </w:r>
    <w:r>
      <w:rPr/>
      <w:t>12</w:t>
    </w:r>
    <w:r>
      <w:rPr/>
      <w:fldChar w:fldCharType="end"/>
    </w:r>
    <w:r>
      <w:rPr>
        <w:rFonts w:eastAsia="Open Sans" w:cs="Open Sans"/>
        <w:color w:val="5C6F78"/>
        <w:sz w:val="16"/>
        <w:szCs w:val="16"/>
      </w:rPr>
      <w:t xml:space="preserve"> of </w:t>
    </w:r>
    <w:r>
      <w:rPr/>
      <w:fldChar w:fldCharType="begin"/>
    </w:r>
    <w:r>
      <w:rPr/>
      <w:instrText xml:space="preserve"> NUMPAGES </w:instrText>
    </w:r>
    <w:r>
      <w:rPr/>
      <w:fldChar w:fldCharType="separate"/>
    </w:r>
    <w:r>
      <w:rPr/>
      <w:t>12</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8" w:space="6" w:color="008E60"/>
      </w:pBdr>
      <w:tabs>
        <w:tab w:val="clear" w:pos="720"/>
        <w:tab w:val="right" w:pos="9026" w:leader="none"/>
      </w:tabs>
      <w:spacing w:before="60" w:after="0"/>
      <w:rPr/>
    </w:pPr>
    <w:r>
      <w:rPr>
        <w:rFonts w:eastAsia="Open Sans" w:cs="Open Sans"/>
        <w:b/>
        <w:bCs/>
        <w:color w:val="231F20"/>
        <w:sz w:val="16"/>
        <w:szCs w:val="16"/>
      </w:rPr>
      <w:t>JCATI 2027–28 RFP — Industry Partner Packet: Attestation Form</w:t>
    </w:r>
    <w:r>
      <w:rPr>
        <w:rFonts w:eastAsia="Open Sans" w:cs="Open Sans"/>
      </w:rPr>
      <w:tab/>
    </w:r>
    <w:r>
      <w:rPr>
        <w:rFonts w:eastAsia="Open Sans" w:cs="Open Sans"/>
        <w:color w:val="5C6F78"/>
        <w:sz w:val="16"/>
        <w:szCs w:val="16"/>
      </w:rPr>
      <w:t xml:space="preserve">Page </w:t>
    </w:r>
    <w:r>
      <w:rPr/>
      <w:fldChar w:fldCharType="begin"/>
    </w:r>
    <w:r>
      <w:rPr/>
      <w:instrText xml:space="preserve"> PAGE </w:instrText>
    </w:r>
    <w:r>
      <w:rPr/>
      <w:fldChar w:fldCharType="separate"/>
    </w:r>
    <w:r>
      <w:rPr/>
      <w:t>12</w:t>
    </w:r>
    <w:r>
      <w:rPr/>
      <w:fldChar w:fldCharType="end"/>
    </w:r>
    <w:r>
      <w:rPr>
        <w:rFonts w:eastAsia="Open Sans" w:cs="Open Sans"/>
        <w:color w:val="5C6F78"/>
        <w:sz w:val="16"/>
        <w:szCs w:val="16"/>
      </w:rPr>
      <w:t xml:space="preserve"> of </w:t>
    </w:r>
    <w:r>
      <w:rPr/>
      <w:fldChar w:fldCharType="begin"/>
    </w:r>
    <w:r>
      <w:rPr/>
      <w:instrText xml:space="preserve"> NUMPAGES </w:instrText>
    </w:r>
    <w:r>
      <w:rPr/>
      <w:fldChar w:fldCharType="separate"/>
    </w:r>
    <w:r>
      <w:rPr/>
      <w:t>12</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12" w:space="6" w:color="008E60"/>
      </w:pBdr>
      <w:spacing w:before="0" w:after="0"/>
      <w:jc w:val="center"/>
      <w:rPr/>
    </w:pPr>
    <w:r>
      <w:rPr/>
      <w:drawing>
        <wp:inline distT="0" distB="0" distL="0" distR="0">
          <wp:extent cx="2238375" cy="762000"/>
          <wp:effectExtent l="0" t="0" r="0" b="0"/>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1"/>
                  <a:stretch>
                    <a:fillRect/>
                  </a:stretch>
                </pic:blipFill>
                <pic:spPr bwMode="auto">
                  <a:xfrm>
                    <a:off x="0" y="0"/>
                    <a:ext cx="2238375" cy="762000"/>
                  </a:xfrm>
                  <a:prstGeom prst="rect">
                    <a:avLst/>
                  </a:prstGeom>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12" w:space="6" w:color="008E60"/>
      </w:pBdr>
      <w:spacing w:before="0" w:after="0"/>
      <w:jc w:val="center"/>
      <w:rPr/>
    </w:pPr>
    <w:r>
      <w:rPr/>
      <w:drawing>
        <wp:inline distT="0" distB="0" distL="0" distR="0">
          <wp:extent cx="2238375" cy="76200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tretch>
                    <a:fillRect/>
                  </a:stretch>
                </pic:blipFill>
                <pic:spPr bwMode="auto">
                  <a:xfrm>
                    <a:off x="0" y="0"/>
                    <a:ext cx="2238375" cy="762000"/>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504" w:hanging="288"/>
      </w:pPr>
      <w:rPr>
        <w:rFonts w:ascii="Symbol" w:hAnsi="Symbol" w:cs="Symbol" w:hint="default"/>
      </w:rPr>
    </w:lvl>
    <w:lvl w:ilvl="1">
      <w:start w:val="1"/>
      <w:numFmt w:val="bullet"/>
      <w:lvlText w:val="–"/>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Open Sans" w:hAnsi="Open Sans" w:eastAsia="Open Sans" w:cs="Open Sans"/>
        <w:color w:val="231F20"/>
        <w:lang w:val="en-US" w:eastAsia="zh-CN" w:bidi="hi-IN"/>
      </w:rPr>
    </w:rPrDefault>
    <w:pPrDefault>
      <w:pPr>
        <w:suppressAutoHyphens w:val="true"/>
      </w:pPr>
    </w:pPrDefault>
  </w:docDefaults>
  <w:style w:type="paragraph" w:styleId="Normal">
    <w:name w:val="Normal"/>
    <w:qFormat/>
    <w:pPr>
      <w:widowControl/>
      <w:bidi w:val="0"/>
      <w:spacing w:before="0" w:after="0"/>
      <w:jc w:val="left"/>
    </w:pPr>
    <w:rPr>
      <w:rFonts w:ascii="Open Sans" w:hAnsi="Open Sans" w:eastAsia="Open Sans" w:cs="Open Sans"/>
      <w:color w:val="231F20"/>
      <w:kern w:val="0"/>
      <w:sz w:val="20"/>
      <w:szCs w:val="20"/>
      <w:lang w:val="en-US" w:eastAsia="zh-CN" w:bidi="hi-IN"/>
    </w:rPr>
  </w:style>
  <w:style w:type="paragraph" w:styleId="Heading1">
    <w:name w:val="Heading 1"/>
    <w:basedOn w:val="Heading"/>
    <w:qFormat/>
    <w:pPr/>
    <w:rPr>
      <w:color w:val="2E74B5"/>
      <w:sz w:val="32"/>
      <w:szCs w:val="32"/>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itle">
    <w:name w:val="Title"/>
    <w:basedOn w:val="Heading"/>
    <w:qFormat/>
    <w:pPr/>
    <w:rPr>
      <w:sz w:val="56"/>
      <w:szCs w:val="56"/>
    </w:rPr>
  </w:style>
  <w:style w:type="paragraph" w:styleId="StrongEmphasis">
    <w:name w:val="Strong Emphasis"/>
    <w:qFormat/>
    <w:pPr>
      <w:widowControl/>
      <w:bidi w:val="0"/>
      <w:spacing w:before="0" w:after="0"/>
      <w:jc w:val="left"/>
    </w:pPr>
    <w:rPr>
      <w:rFonts w:ascii="Open Sans" w:hAnsi="Open Sans" w:eastAsia="Open Sans" w:cs="Open Sans"/>
      <w:b/>
      <w:bCs/>
      <w:color w:val="231F20"/>
      <w:kern w:val="0"/>
      <w:sz w:val="20"/>
      <w:szCs w:val="20"/>
      <w:lang w:val="en-US" w:eastAsia="zh-CN" w:bidi="hi-IN"/>
    </w:rPr>
  </w:style>
  <w:style w:type="paragraph" w:styleId="ListParagraph">
    <w:name w:val="List Paragraph"/>
    <w:qFormat/>
    <w:pPr>
      <w:widowControl/>
      <w:bidi w:val="0"/>
      <w:spacing w:before="0" w:after="0"/>
      <w:jc w:val="left"/>
    </w:pPr>
    <w:rPr>
      <w:rFonts w:ascii="Open Sans" w:hAnsi="Open Sans" w:eastAsia="Open Sans" w:cs="Open Sans"/>
      <w:color w:val="231F20"/>
      <w:kern w:val="0"/>
      <w:sz w:val="20"/>
      <w:szCs w:val="20"/>
      <w:lang w:val="en-U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jcati.org/funding-request-proposals" TargetMode="External"/><Relationship Id="rId3" Type="http://schemas.openxmlformats.org/officeDocument/2006/relationships/hyperlink" Target="https://jcati.org/funding-request-proposals" TargetMode="External"/><Relationship Id="rId4" Type="http://schemas.openxmlformats.org/officeDocument/2006/relationships/hyperlink" Target="https://jcati.org/"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13</Pages>
  <Words>810</Words>
  <Characters>4405</Characters>
  <CharactersWithSpaces>5164</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2026-09-03T17:51:39Z</dcterms:created>
  <dc:creator>Un-named</dc:creator>
  <dc:description/>
  <dc:language>en-US</dc:language>
  <cp:lastModifiedBy/>
  <dcterms:modified xsi:type="dcterms:W3CDTF">2026-10-21T14:11:37Z</dcterms:modified>
  <cp:revision>2</cp:revision>
  <dc:subject/>
  <dc:title/>
</cp:coreProperties>
</file>